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spacing w:val="20"/>
          <w:sz w:val="48"/>
          <w:szCs w:val="28"/>
          <w:highlight w:val="none"/>
        </w:rPr>
      </w:pPr>
      <w:r>
        <w:rPr>
          <w:rFonts w:hint="eastAsia" w:ascii="宋体" w:hAnsi="宋体" w:cs="宋体"/>
          <w:b/>
          <w:color w:val="000000"/>
          <w:spacing w:val="20"/>
          <w:sz w:val="48"/>
          <w:szCs w:val="28"/>
          <w:highlight w:val="none"/>
        </w:rPr>
      </w:r>
      <w:r/>
    </w:p>
    <w:p>
      <w:pPr>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lang w:eastAsia="zh-CN"/>
        </w:rPr>
        <w:t xml:space="preserve">南通市妇幼</w:t>
      </w:r>
      <w:bookmarkStart w:id="104" w:name="_GoBack"/>
      <w:r/>
      <w:bookmarkEnd w:id="104"/>
      <w:r>
        <w:rPr>
          <w:rFonts w:hint="eastAsia" w:ascii="宋体" w:hAnsi="宋体" w:cs="宋体"/>
          <w:b/>
          <w:color w:val="000000"/>
          <w:sz w:val="44"/>
          <w:szCs w:val="44"/>
          <w:highlight w:val="none"/>
          <w:lang w:eastAsia="zh-CN"/>
        </w:rPr>
        <w:t xml:space="preserve">保健院口腔科扩建</w:t>
      </w:r>
      <w:r>
        <w:rPr>
          <w:rFonts w:hint="eastAsia" w:ascii="宋体" w:hAnsi="宋体" w:cs="宋体"/>
          <w:b/>
          <w:color w:val="000000"/>
          <w:sz w:val="44"/>
          <w:szCs w:val="44"/>
          <w:highlight w:val="none"/>
        </w:rPr>
        <w:t xml:space="preserve">工程</w:t>
      </w:r>
      <w:r/>
    </w:p>
    <w:p>
      <w:pPr>
        <w:pStyle w:val="804"/>
        <w:rPr>
          <w:color w:val="000000"/>
          <w:highlight w:val="none"/>
        </w:rPr>
      </w:pPr>
      <w:r>
        <w:rPr>
          <w:color w:val="000000"/>
          <w:highlight w:val="none"/>
        </w:rPr>
      </w:r>
      <w:r/>
    </w:p>
    <w:p>
      <w:pP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707"/>
        <w:rPr>
          <w:rFonts w:ascii="宋体" w:hAnsi="宋体" w:cs="宋体"/>
          <w:b/>
          <w:color w:val="000000"/>
          <w:sz w:val="72"/>
          <w:szCs w:val="72"/>
          <w:highlight w:val="none"/>
        </w:rPr>
      </w:pPr>
      <w:r>
        <w:rPr>
          <w:rFonts w:ascii="宋体" w:hAnsi="宋体" w:cs="宋体"/>
          <w:b/>
          <w:color w:val="000000"/>
          <w:sz w:val="72"/>
          <w:szCs w:val="72"/>
          <w:highlight w:val="none"/>
        </w:rPr>
      </w:r>
      <w:r/>
    </w:p>
    <w:p>
      <w:pPr>
        <w:rPr>
          <w:highlight w:val="none"/>
        </w:rPr>
      </w:pPr>
      <w:r>
        <w:rPr>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竞争性磋商文件</w:t>
      </w:r>
      <w:r/>
    </w:p>
    <w:p>
      <w:pPr>
        <w:jc w:val="center"/>
        <w:keepNext/>
        <w:spacing w:line="500" w:lineRule="exact"/>
        <w:rPr>
          <w:rFonts w:hint="eastAsia" w:ascii="宋体" w:hAnsi="宋体" w:eastAsia="宋体" w:cs="宋体"/>
          <w:b/>
          <w:color w:val="000000"/>
          <w:sz w:val="44"/>
          <w:szCs w:val="20"/>
          <w:highlight w:val="none"/>
          <w:lang w:eastAsia="zh-CN"/>
        </w:rPr>
        <w:outlineLvl w:val="5"/>
      </w:pPr>
      <w:r>
        <w:rPr>
          <w:rFonts w:hint="eastAsia" w:ascii="宋体" w:hAnsi="宋体" w:eastAsia="宋体" w:cs="宋体"/>
          <w:b/>
          <w:color w:val="000000"/>
          <w:sz w:val="44"/>
          <w:szCs w:val="20"/>
          <w:highlight w:val="none"/>
          <w:lang w:eastAsia="zh-CN"/>
        </w:rPr>
      </w:r>
      <w:r/>
    </w:p>
    <w:p>
      <w:pPr>
        <w:jc w:val="center"/>
        <w:keepNext/>
        <w:spacing w:line="500" w:lineRule="exact"/>
        <w:rPr>
          <w:rFonts w:hint="eastAsia" w:ascii="宋体" w:hAnsi="宋体" w:eastAsia="宋体" w:cs="宋体"/>
          <w:b/>
          <w:color w:val="000000"/>
          <w:sz w:val="28"/>
          <w:szCs w:val="28"/>
          <w:highlight w:val="none"/>
          <w:lang w:eastAsia="zh-CN"/>
        </w:rPr>
        <w:outlineLvl w:val="5"/>
      </w:pPr>
      <w:r>
        <w:rPr>
          <w:rFonts w:hint="eastAsia" w:ascii="宋体" w:hAnsi="宋体" w:cs="宋体"/>
          <w:b/>
          <w:color w:val="000000"/>
          <w:sz w:val="28"/>
          <w:szCs w:val="28"/>
          <w:highlight w:val="none"/>
        </w:rPr>
        <w:t xml:space="preserve">采购文件编号：</w:t>
      </w:r>
      <w:r>
        <w:rPr>
          <w:rFonts w:hint="eastAsia" w:ascii="宋体" w:hAnsi="宋体" w:cs="宋体"/>
          <w:b/>
          <w:color w:val="000000"/>
          <w:sz w:val="28"/>
          <w:szCs w:val="28"/>
          <w:highlight w:val="none"/>
          <w:lang w:eastAsia="zh-CN"/>
        </w:rPr>
        <w:t xml:space="preserve">JSZC-320600-NTWL-C2025-0026</w:t>
      </w:r>
      <w:r/>
    </w:p>
    <w:p>
      <w:pPr>
        <w:spacing w:line="500" w:lineRule="exact"/>
        <w:rPr>
          <w:rFonts w:hint="eastAsia" w:ascii="宋体" w:hAnsi="宋体" w:cs="宋体"/>
          <w:color w:val="000000"/>
          <w:highlight w:val="none"/>
        </w:rPr>
      </w:pPr>
      <w:r>
        <w:rPr>
          <w:rFonts w:hint="eastAsia" w:ascii="宋体" w:hAnsi="宋体" w:cs="宋体"/>
          <w:color w:val="000000"/>
          <w:highlight w:val="none"/>
        </w:rPr>
      </w:r>
      <w:r/>
    </w:p>
    <w:p>
      <w:pPr>
        <w:jc w:val="center"/>
        <w:spacing w:line="500" w:lineRule="exact"/>
        <w:rPr>
          <w:rFonts w:hint="eastAsia" w:ascii="宋体" w:hAnsi="宋体" w:cs="宋体"/>
          <w:color w:val="000000"/>
          <w:sz w:val="32"/>
          <w:highlight w:val="none"/>
        </w:rPr>
      </w:pPr>
      <w:r>
        <w:rPr>
          <w:rFonts w:hint="eastAsia" w:ascii="宋体" w:hAnsi="宋体" w:cs="宋体"/>
          <w:color w:val="000000"/>
          <w:sz w:val="32"/>
          <w:highlight w:val="none"/>
        </w:rPr>
      </w:r>
      <w:r/>
    </w:p>
    <w:p>
      <w:pPr>
        <w:jc w:val="center"/>
        <w:spacing w:line="500" w:lineRule="exact"/>
        <w:rPr>
          <w:rFonts w:hint="eastAsia" w:ascii="宋体" w:hAnsi="宋体" w:cs="宋体"/>
          <w:color w:val="000000"/>
          <w:sz w:val="32"/>
          <w:highlight w:val="none"/>
        </w:rPr>
      </w:pPr>
      <w:r>
        <w:rPr>
          <w:rFonts w:hint="eastAsia" w:ascii="宋体" w:hAnsi="宋体" w:cs="宋体"/>
          <w:color w:val="000000"/>
          <w:sz w:val="32"/>
          <w:highlight w:val="none"/>
        </w:rPr>
      </w:r>
      <w:r/>
    </w:p>
    <w:p>
      <w:pPr>
        <w:jc w:val="center"/>
        <w:spacing w:line="500" w:lineRule="exact"/>
        <w:rPr>
          <w:rFonts w:hint="eastAsia" w:ascii="宋体" w:hAnsi="宋体" w:cs="宋体"/>
          <w:color w:val="000000"/>
          <w:sz w:val="32"/>
          <w:highlight w:val="none"/>
        </w:rPr>
      </w:pPr>
      <w:r>
        <w:rPr>
          <w:rFonts w:hint="eastAsia" w:ascii="宋体" w:hAnsi="宋体" w:cs="宋体"/>
          <w:color w:val="000000"/>
          <w:sz w:val="32"/>
          <w:highlight w:val="none"/>
        </w:rPr>
      </w:r>
      <w:r/>
    </w:p>
    <w:p>
      <w:pPr>
        <w:jc w:val="center"/>
        <w:spacing w:line="500" w:lineRule="exact"/>
        <w:rPr>
          <w:rFonts w:hint="eastAsia" w:ascii="宋体" w:hAnsi="宋体" w:cs="宋体"/>
          <w:color w:val="000000"/>
          <w:sz w:val="32"/>
          <w:highlight w:val="none"/>
        </w:rPr>
      </w:pPr>
      <w:r>
        <w:rPr>
          <w:rFonts w:hint="eastAsia" w:ascii="宋体" w:hAnsi="宋体" w:cs="宋体"/>
          <w:color w:val="000000"/>
          <w:sz w:val="32"/>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ind w:firstLine="1084"/>
        <w:spacing w:line="360" w:lineRule="auto"/>
        <w:rPr>
          <w:rFonts w:hint="eastAsia" w:ascii="宋体" w:hAnsi="宋体" w:eastAsia="宋体" w:cs="宋体"/>
          <w:b/>
          <w:color w:val="000000"/>
          <w:sz w:val="32"/>
          <w:szCs w:val="20"/>
          <w:highlight w:val="none"/>
          <w:lang w:eastAsia="zh-CN"/>
        </w:rPr>
      </w:pPr>
      <w:r>
        <w:rPr>
          <w:rFonts w:hint="eastAsia" w:ascii="宋体" w:hAnsi="宋体" w:cs="宋体"/>
          <w:b/>
          <w:color w:val="000000"/>
          <w:sz w:val="32"/>
          <w:szCs w:val="20"/>
          <w:highlight w:val="none"/>
        </w:rPr>
        <w:t xml:space="preserve">采 购  单 位：</w:t>
      </w:r>
      <w:r>
        <w:rPr>
          <w:rFonts w:hint="eastAsia" w:ascii="宋体" w:hAnsi="宋体" w:cs="宋体"/>
          <w:b/>
          <w:color w:val="000000"/>
          <w:sz w:val="32"/>
          <w:szCs w:val="20"/>
          <w:highlight w:val="none"/>
          <w:lang w:eastAsia="zh-CN"/>
        </w:rPr>
        <w:t xml:space="preserve">南通市妇幼保健院</w:t>
      </w:r>
      <w:r/>
    </w:p>
    <w:p>
      <w:pPr>
        <w:ind w:firstLine="1084"/>
        <w:spacing w:line="360" w:lineRule="auto"/>
        <w:rPr>
          <w:rFonts w:hint="eastAsia" w:ascii="宋体" w:hAnsi="宋体" w:cs="宋体"/>
          <w:b/>
          <w:color w:val="000000"/>
          <w:sz w:val="32"/>
          <w:szCs w:val="20"/>
          <w:highlight w:val="none"/>
        </w:rPr>
      </w:pPr>
      <w:r>
        <w:rPr>
          <w:rFonts w:hint="eastAsia" w:ascii="宋体" w:hAnsi="宋体" w:cs="宋体"/>
          <w:b/>
          <w:color w:val="000000"/>
          <w:sz w:val="32"/>
          <w:szCs w:val="20"/>
          <w:highlight w:val="none"/>
        </w:rPr>
        <w:t xml:space="preserve">采购代理机构：南通万隆工程管理有限公司</w:t>
      </w:r>
      <w:r/>
    </w:p>
    <w:p>
      <w:pPr>
        <w:ind w:firstLine="1084"/>
        <w:spacing w:line="360" w:lineRule="auto"/>
        <w:rPr>
          <w:rFonts w:hint="eastAsia" w:ascii="宋体" w:hAnsi="宋体" w:cs="宋体"/>
          <w:color w:val="000000"/>
          <w:sz w:val="44"/>
          <w:szCs w:val="44"/>
          <w:highlight w:val="none"/>
          <w:lang w:val="zh-CN"/>
        </w:rPr>
      </w:pPr>
      <w:r>
        <w:rPr>
          <w:rFonts w:hint="eastAsia" w:ascii="宋体" w:hAnsi="宋体" w:cs="宋体"/>
          <w:b/>
          <w:color w:val="000000"/>
          <w:sz w:val="32"/>
          <w:szCs w:val="20"/>
          <w:highlight w:val="none"/>
        </w:rPr>
        <w:t xml:space="preserve">日        期：2025年</w:t>
      </w:r>
      <w:r>
        <w:rPr>
          <w:rFonts w:hint="eastAsia" w:ascii="宋体" w:hAnsi="宋体" w:cs="宋体"/>
          <w:b/>
          <w:color w:val="000000"/>
          <w:sz w:val="32"/>
          <w:szCs w:val="20"/>
          <w:highlight w:val="none"/>
          <w:lang w:val="en-US" w:eastAsia="zh-CN"/>
        </w:rPr>
        <w:t xml:space="preserve">11</w:t>
      </w:r>
      <w:r>
        <w:rPr>
          <w:rFonts w:hint="eastAsia" w:ascii="宋体" w:hAnsi="宋体" w:cs="宋体"/>
          <w:b/>
          <w:color w:val="000000"/>
          <w:sz w:val="32"/>
          <w:szCs w:val="20"/>
          <w:highlight w:val="none"/>
        </w:rPr>
        <w:t xml:space="preserve">月</w:t>
      </w:r>
      <w:r/>
    </w:p>
    <w:p>
      <w:pPr>
        <w:jc w:val="center"/>
        <w:spacing w:line="360" w:lineRule="auto"/>
        <w:rPr>
          <w:rFonts w:hint="eastAsia" w:ascii="宋体" w:hAnsi="宋体" w:cs="宋体"/>
          <w:color w:val="000000"/>
          <w:sz w:val="44"/>
          <w:szCs w:val="44"/>
          <w:highlight w:val="none"/>
          <w:lang w:val="zh-CN"/>
        </w:rPr>
        <w:sectPr>
          <w:footnotePr/>
          <w:endnotePr/>
          <w:type w:val="nextPage"/>
          <w:pgSz w:w="11910" w:h="16840" w:orient="portrait"/>
          <w:pgMar w:top="1560" w:right="1190" w:bottom="1000" w:left="1680" w:header="720" w:footer="720" w:gutter="0"/>
          <w:cols w:num="1" w:sep="0" w:space="1701" w:equalWidth="1"/>
          <w:docGrid w:linePitch="360"/>
        </w:sectPr>
        <w:outlineLvl w:val="0"/>
      </w:pPr>
      <w:r>
        <w:rPr>
          <w:rFonts w:hint="eastAsia" w:ascii="宋体" w:hAnsi="宋体" w:cs="宋体"/>
          <w:color w:val="000000"/>
          <w:sz w:val="44"/>
          <w:szCs w:val="44"/>
          <w:highlight w:val="none"/>
          <w:lang w:val="zh-CN"/>
        </w:rPr>
      </w:r>
      <w:r/>
    </w:p>
    <w:p>
      <w:pPr>
        <w:jc w:val="center"/>
        <w:spacing w:line="360" w:lineRule="auto"/>
        <w:rPr>
          <w:rFonts w:hint="eastAsia" w:ascii="宋体" w:hAnsi="宋体" w:cs="宋体"/>
          <w:color w:val="000000"/>
          <w:sz w:val="44"/>
          <w:szCs w:val="44"/>
          <w:highlight w:val="none"/>
          <w:lang w:val="zh-CN"/>
        </w:rPr>
        <w:outlineLvl w:val="0"/>
      </w:pPr>
      <w:r>
        <w:rPr>
          <w:rFonts w:hint="eastAsia" w:ascii="宋体" w:hAnsi="宋体" w:cs="宋体"/>
          <w:color w:val="000000"/>
          <w:sz w:val="44"/>
          <w:szCs w:val="44"/>
          <w:highlight w:val="none"/>
          <w:lang w:val="zh-CN"/>
        </w:rPr>
      </w:r>
      <w:r/>
    </w:p>
    <w:p>
      <w:pPr>
        <w:jc w:val="center"/>
        <w:spacing w:line="360" w:lineRule="auto"/>
        <w:rPr>
          <w:rFonts w:hint="eastAsia" w:ascii="宋体" w:hAnsi="宋体" w:cs="宋体"/>
          <w:color w:val="000000"/>
          <w:sz w:val="32"/>
          <w:szCs w:val="32"/>
          <w:highlight w:val="none"/>
        </w:rPr>
        <w:outlineLvl w:val="0"/>
      </w:pPr>
      <w:r>
        <w:rPr>
          <w:rFonts w:hint="eastAsia" w:ascii="宋体" w:hAnsi="宋体" w:cs="宋体"/>
          <w:color w:val="000000"/>
          <w:sz w:val="44"/>
          <w:szCs w:val="44"/>
          <w:highlight w:val="none"/>
          <w:lang w:val="zh-CN"/>
        </w:rPr>
        <w:t xml:space="preserve">目 </w:t>
      </w:r>
      <w:r>
        <w:rPr>
          <w:rFonts w:hint="eastAsia" w:ascii="宋体" w:hAnsi="宋体" w:cs="宋体"/>
          <w:color w:val="000000"/>
          <w:sz w:val="44"/>
          <w:szCs w:val="44"/>
          <w:highlight w:val="none"/>
          <w:lang w:val="en-US" w:eastAsia="zh-CN"/>
        </w:rPr>
        <w:t xml:space="preserve">  </w:t>
      </w:r>
      <w:r>
        <w:rPr>
          <w:rFonts w:hint="eastAsia" w:ascii="宋体" w:hAnsi="宋体" w:cs="宋体"/>
          <w:color w:val="000000"/>
          <w:sz w:val="44"/>
          <w:szCs w:val="44"/>
          <w:highlight w:val="none"/>
          <w:lang w:val="zh-CN"/>
        </w:rPr>
        <w:t xml:space="preserve">录</w:t>
      </w:r>
      <w:r/>
    </w:p>
    <w:p>
      <w:pPr>
        <w:spacing w:line="360" w:lineRule="auto"/>
        <w:tabs>
          <w:tab w:val="left" w:pos="7740"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spacing w:line="360" w:lineRule="auto"/>
        <w:tabs>
          <w:tab w:val="left" w:pos="7740"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第一部分  采购邀请</w:t>
      </w:r>
      <w:r/>
    </w:p>
    <w:p>
      <w:pPr>
        <w:spacing w:line="360" w:lineRule="auto"/>
        <w:tabs>
          <w:tab w:val="left" w:pos="7740"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第二部分  磋商须知</w:t>
      </w:r>
      <w:r/>
    </w:p>
    <w:p>
      <w:pPr>
        <w:spacing w:line="360" w:lineRule="auto"/>
        <w:tabs>
          <w:tab w:val="left" w:pos="7740"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第三部分  项目需求</w:t>
      </w:r>
      <w:r/>
    </w:p>
    <w:p>
      <w:pPr>
        <w:spacing w:line="360" w:lineRule="auto"/>
        <w:tabs>
          <w:tab w:val="left" w:pos="7740"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第四部分  评审方法和评审标准</w:t>
      </w:r>
      <w:r/>
    </w:p>
    <w:p>
      <w:pPr>
        <w:spacing w:line="360" w:lineRule="auto"/>
        <w:tabs>
          <w:tab w:val="left" w:pos="7740"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第五部分  合同条款及格式</w:t>
      </w:r>
      <w:r/>
    </w:p>
    <w:p>
      <w:pPr>
        <w:spacing w:line="360" w:lineRule="auto"/>
        <w:tabs>
          <w:tab w:val="left" w:pos="7740" w:leader="none"/>
        </w:tabs>
        <w:rPr>
          <w:rFonts w:hint="eastAsia" w:ascii="宋体" w:hAnsi="宋体" w:cs="宋体"/>
          <w:bCs/>
          <w:color w:val="000000"/>
          <w:sz w:val="32"/>
          <w:szCs w:val="32"/>
          <w:highlight w:val="none"/>
        </w:rPr>
      </w:pPr>
      <w:r>
        <w:rPr>
          <w:rFonts w:hint="eastAsia" w:ascii="宋体" w:hAnsi="宋体" w:cs="宋体"/>
          <w:color w:val="000000"/>
          <w:sz w:val="32"/>
          <w:szCs w:val="32"/>
          <w:highlight w:val="none"/>
        </w:rPr>
        <w:t xml:space="preserve">第六部分  响应文件组成</w:t>
      </w:r>
      <w:r/>
    </w:p>
    <w:p>
      <w:pPr>
        <w:spacing w:line="500" w:lineRule="exact"/>
        <w:tabs>
          <w:tab w:val="left" w:pos="7740" w:leader="none"/>
        </w:tabs>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r>
      <w:r/>
    </w:p>
    <w:p>
      <w:pPr>
        <w:spacing w:line="360" w:lineRule="auto"/>
        <w:rPr>
          <w:rFonts w:hint="eastAsia" w:ascii="宋体" w:hAnsi="宋体" w:cs="宋体"/>
          <w:b/>
          <w:color w:val="000000"/>
          <w:sz w:val="22"/>
          <w:szCs w:val="22"/>
          <w:highlight w:val="none"/>
        </w:rPr>
        <w:sectPr>
          <w:footerReference w:type="default" r:id="rId10"/>
          <w:footnotePr/>
          <w:endnotePr/>
          <w:type w:val="nextPage"/>
          <w:pgSz w:w="11910" w:h="16840" w:orient="portrait"/>
          <w:pgMar w:top="1780" w:right="1460" w:bottom="1000" w:left="1680" w:header="720" w:footer="720" w:gutter="0"/>
          <w:pgNumType w:start="1"/>
          <w:cols w:num="1" w:sep="0" w:space="1701" w:equalWidth="1"/>
          <w:docGrid w:linePitch="360"/>
        </w:sectPr>
      </w:pPr>
      <w:r>
        <w:rPr>
          <w:rFonts w:hint="eastAsia" w:ascii="宋体" w:hAnsi="宋体" w:cs="宋体"/>
          <w:b/>
          <w:color w:val="000000"/>
          <w:sz w:val="22"/>
          <w:szCs w:val="22"/>
          <w:highlight w:val="none"/>
        </w:rPr>
      </w:r>
      <w:r/>
    </w:p>
    <w:p>
      <w:pPr>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尊敬的供应商：</w:t>
      </w:r>
      <w:r/>
    </w:p>
    <w:p>
      <w:pPr>
        <w:pStyle w:val="707"/>
        <w:ind w:firstLine="420"/>
        <w:jc w:val="left"/>
        <w:keepLines w:val="0"/>
        <w:keepNext w:val="0"/>
        <w:spacing w:before="0" w:after="0"/>
        <w:rPr>
          <w:rFonts w:hint="eastAsia" w:ascii="宋体" w:hAnsi="宋体" w:eastAsia="宋体" w:cs="宋体"/>
          <w:color w:val="000000"/>
          <w:szCs w:val="44"/>
          <w:highlight w:val="none"/>
        </w:rPr>
      </w:pPr>
      <w:r>
        <w:rPr>
          <w:rFonts w:hint="eastAsia" w:ascii="宋体" w:hAnsi="宋体" w:eastAsia="宋体" w:cs="宋体"/>
          <w:color w:val="000000"/>
          <w:sz w:val="22"/>
          <w:szCs w:val="22"/>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jc w:val="center"/>
        <w:spacing w:line="500" w:lineRule="exact"/>
        <w:rPr>
          <w:rFonts w:hint="eastAsia" w:ascii="宋体" w:hAnsi="宋体" w:cs="宋体"/>
          <w:b/>
          <w:bCs/>
          <w:color w:val="000000"/>
          <w:sz w:val="36"/>
          <w:szCs w:val="36"/>
          <w:highlight w:val="none"/>
          <w:lang w:val="zh-CN"/>
        </w:rPr>
        <w:outlineLvl w:val="0"/>
      </w:pPr>
      <w:r>
        <w:rPr>
          <w:rFonts w:hint="eastAsia" w:ascii="宋体" w:hAnsi="宋体" w:cs="宋体"/>
          <w:b/>
          <w:bCs/>
          <w:color w:val="000000"/>
          <w:sz w:val="36"/>
          <w:szCs w:val="36"/>
          <w:highlight w:val="none"/>
          <w:lang w:val="zh-CN"/>
        </w:rPr>
      </w:r>
      <w:r/>
    </w:p>
    <w:p>
      <w:pPr>
        <w:jc w:val="center"/>
        <w:spacing w:line="500" w:lineRule="exact"/>
        <w:rPr>
          <w:rFonts w:hint="eastAsia" w:ascii="宋体" w:hAnsi="宋体" w:cs="宋体"/>
          <w:b/>
          <w:bCs/>
          <w:color w:val="000000"/>
          <w:sz w:val="36"/>
          <w:szCs w:val="36"/>
          <w:highlight w:val="none"/>
          <w:lang w:val="zh-CN"/>
        </w:rPr>
        <w:outlineLvl w:val="0"/>
      </w:pPr>
      <w:r>
        <w:rPr>
          <w:rFonts w:hint="eastAsia" w:ascii="宋体" w:hAnsi="宋体" w:cs="宋体"/>
          <w:b/>
          <w:bCs/>
          <w:color w:val="000000"/>
          <w:sz w:val="36"/>
          <w:szCs w:val="36"/>
          <w:highlight w:val="none"/>
          <w:lang w:val="zh-CN"/>
        </w:rPr>
        <w:t xml:space="preserve">第一部分  采购邀请</w:t>
      </w:r>
      <w:r/>
    </w:p>
    <w:p>
      <w:pPr>
        <w:spacing w:line="460" w:lineRule="exact"/>
        <w:rPr>
          <w:rFonts w:hint="eastAsia" w:ascii="宋体" w:hAnsi="宋体" w:cs="宋体"/>
          <w:color w:val="000000"/>
          <w:sz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color w:val="000000"/>
          <w:sz w:val="24"/>
          <w:highlight w:val="none"/>
        </w:rPr>
        <w:t xml:space="preserve">项目概况</w:t>
      </w:r>
      <w:r/>
    </w:p>
    <w:p>
      <w:pPr>
        <w:ind w:firstLine="560"/>
        <w:rPr>
          <w:rFonts w:hint="eastAsia" w:ascii="宋体" w:hAnsi="宋体" w:cs="宋体"/>
          <w:color w:val="000000"/>
          <w:sz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color w:val="000000"/>
          <w:sz w:val="24"/>
          <w:highlight w:val="none"/>
          <w:u w:val="single"/>
          <w:lang w:eastAsia="zh-CN"/>
        </w:rPr>
        <w:t xml:space="preserve">南通市妇幼保健院口腔科扩建工程</w:t>
      </w:r>
      <w:r>
        <w:rPr>
          <w:rFonts w:hint="eastAsia" w:ascii="宋体" w:hAnsi="宋体" w:cs="宋体"/>
          <w:color w:val="000000"/>
          <w:sz w:val="24"/>
          <w:highlight w:val="none"/>
        </w:rPr>
        <w:t xml:space="preserve">的潜在供应商应</w:t>
      </w:r>
      <w:r>
        <w:rPr>
          <w:rFonts w:hint="eastAsia" w:ascii="宋体" w:hAnsi="宋体" w:cs="宋体"/>
          <w:b/>
          <w:bCs/>
          <w:color w:val="000000"/>
          <w:sz w:val="24"/>
          <w:highlight w:val="none"/>
          <w:u w:val="single"/>
        </w:rPr>
        <w:t xml:space="preserve">在江苏政府采购网-苏采云</w:t>
      </w:r>
      <w:r>
        <w:rPr>
          <w:rFonts w:hint="eastAsia" w:ascii="宋体" w:hAnsi="宋体" w:cs="宋体"/>
          <w:color w:val="000000"/>
          <w:sz w:val="24"/>
          <w:highlight w:val="none"/>
        </w:rPr>
        <w:t xml:space="preserve">系统内免费获取采购文件，并于</w:t>
      </w:r>
      <w:r>
        <w:rPr>
          <w:rFonts w:hint="eastAsia" w:ascii="宋体" w:hAnsi="宋体" w:cs="宋体"/>
          <w:color w:val="000000"/>
          <w:sz w:val="24"/>
          <w:highlight w:val="none"/>
          <w:u w:val="single"/>
        </w:rPr>
        <w:t xml:space="preserve">2025年</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20</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rPr>
        <w:t xml:space="preserve">0分</w:t>
      </w:r>
      <w:r>
        <w:rPr>
          <w:rFonts w:hint="eastAsia" w:ascii="宋体" w:hAnsi="宋体" w:cs="宋体"/>
          <w:color w:val="000000"/>
          <w:sz w:val="24"/>
          <w:highlight w:val="none"/>
        </w:rPr>
        <w:t xml:space="preserve">（北京时间）前提交响应文件。</w:t>
      </w:r>
      <w:r/>
    </w:p>
    <w:p>
      <w:pPr>
        <w:ind w:firstLine="56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firstLine="56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一、项目基本情况</w:t>
      </w:r>
      <w:r/>
    </w:p>
    <w:p>
      <w:pPr>
        <w:ind w:firstLine="56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i w:val="0"/>
          <w:iCs w:val="0"/>
          <w:caps w:val="0"/>
          <w:color w:val="000000"/>
          <w:spacing w:val="0"/>
          <w:sz w:val="24"/>
          <w:szCs w:val="24"/>
          <w:highlight w:val="none"/>
          <w:shd w:val="clear" w:color="auto"/>
          <w:lang w:eastAsia="zh-CN"/>
        </w:rPr>
        <w:t xml:space="preserve">JSZC-320600-NTWL-C2025-0026</w:t>
      </w:r>
      <w:r/>
    </w:p>
    <w:p>
      <w:pPr>
        <w:ind w:firstLine="56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南通市妇幼保健院口腔科扩建工程</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w:t>
      </w:r>
      <w:r>
        <w:rPr>
          <w:rFonts w:hint="eastAsia" w:ascii="宋体" w:hAnsi="宋体" w:cs="宋体"/>
          <w:color w:val="000000"/>
          <w:sz w:val="24"/>
          <w:highlight w:val="none"/>
        </w:rPr>
        <w:t xml:space="preserve">商</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项目类型：工程</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所属行业：建筑业</w:t>
      </w:r>
      <w:r/>
    </w:p>
    <w:p>
      <w:pPr>
        <w:ind w:firstLine="56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预算金额：</w:t>
      </w:r>
      <w:r>
        <w:rPr>
          <w:rFonts w:hint="eastAsia" w:ascii="宋体" w:hAnsi="宋体" w:cs="宋体"/>
          <w:color w:val="000000"/>
          <w:sz w:val="24"/>
          <w:highlight w:val="none"/>
          <w:lang w:val="en-US" w:eastAsia="zh-CN"/>
        </w:rPr>
        <w:t xml:space="preserve">人民币100.00</w:t>
      </w:r>
      <w:r>
        <w:rPr>
          <w:rFonts w:hint="default" w:ascii="宋体" w:hAnsi="宋体" w:eastAsia="宋体" w:cs="宋体"/>
          <w:color w:val="000000"/>
          <w:sz w:val="24"/>
          <w:highlight w:val="none"/>
          <w:lang w:val="en-US" w:eastAsia="zh-CN"/>
        </w:rPr>
        <w:t xml:space="preserve">万</w:t>
      </w:r>
      <w:r>
        <w:rPr>
          <w:rFonts w:hint="default" w:ascii="宋体" w:hAnsi="宋体" w:cs="宋体"/>
          <w:color w:val="000000"/>
          <w:sz w:val="24"/>
          <w:highlight w:val="none"/>
        </w:rPr>
        <w:t xml:space="preserve">元</w:t>
      </w:r>
      <w:r/>
    </w:p>
    <w:p>
      <w:pPr>
        <w:ind w:firstLine="560"/>
        <w:spacing w:line="360" w:lineRule="auto"/>
        <w:rPr>
          <w:rFonts w:hint="default" w:ascii="宋体" w:hAnsi="宋体" w:cs="宋体"/>
          <w:color w:val="000000"/>
          <w:sz w:val="24"/>
          <w:highlight w:val="none"/>
        </w:rPr>
      </w:pPr>
      <w:r>
        <w:rPr>
          <w:rFonts w:hint="default" w:ascii="宋体" w:hAnsi="宋体" w:cs="宋体"/>
          <w:color w:val="000000"/>
          <w:sz w:val="24"/>
          <w:highlight w:val="none"/>
        </w:rPr>
        <w:t xml:space="preserve">最高限价：</w:t>
      </w:r>
      <w:r>
        <w:rPr>
          <w:rFonts w:hint="eastAsia" w:ascii="宋体" w:hAnsi="宋体"/>
          <w:sz w:val="24"/>
          <w:szCs w:val="24"/>
          <w:highlight w:val="none"/>
          <w:lang w:val="en-US" w:eastAsia="zh-CN"/>
        </w:rPr>
        <w:t xml:space="preserve">人民币98.139761</w:t>
      </w:r>
      <w:r>
        <w:rPr>
          <w:rFonts w:hint="default" w:ascii="宋体" w:hAnsi="宋体" w:eastAsia="宋体" w:cs="宋体"/>
          <w:color w:val="000000"/>
          <w:sz w:val="24"/>
          <w:highlight w:val="none"/>
          <w:lang w:val="en-US" w:eastAsia="zh-CN"/>
        </w:rPr>
        <w:t xml:space="preserve">万</w:t>
      </w:r>
      <w:r>
        <w:rPr>
          <w:rFonts w:hint="default" w:ascii="宋体" w:hAnsi="宋体" w:cs="宋体"/>
          <w:color w:val="000000"/>
          <w:sz w:val="24"/>
          <w:highlight w:val="none"/>
        </w:rPr>
        <w:t xml:space="preserve">元</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sz w:val="24"/>
          <w:szCs w:val="24"/>
          <w:highlight w:val="none"/>
          <w:lang w:eastAsia="zh-CN"/>
        </w:rPr>
        <w:t xml:space="preserve">南通市妇</w:t>
      </w:r>
      <w:r>
        <w:rPr>
          <w:rFonts w:hint="eastAsia" w:ascii="宋体" w:hAnsi="宋体"/>
          <w:sz w:val="24"/>
          <w:szCs w:val="24"/>
          <w:highlight w:val="none"/>
          <w:lang w:eastAsia="zh-CN"/>
        </w:rPr>
        <w:t xml:space="preserve">幼保健院</w:t>
      </w:r>
      <w:r>
        <w:rPr>
          <w:rFonts w:hint="eastAsia" w:ascii="宋体" w:hAnsi="宋体" w:cs="宋体"/>
          <w:sz w:val="24"/>
          <w:szCs w:val="24"/>
          <w:highlight w:val="none"/>
          <w:lang w:eastAsia="zh-CN"/>
        </w:rPr>
        <w:t xml:space="preserve">口腔科专供抽吸</w:t>
      </w:r>
      <w:r>
        <w:rPr>
          <w:rFonts w:hint="eastAsia" w:ascii="宋体" w:hAnsi="宋体" w:eastAsia="宋体" w:cs="宋体"/>
          <w:sz w:val="24"/>
          <w:szCs w:val="24"/>
          <w:highlight w:val="none"/>
          <w:lang w:eastAsia="zh-CN"/>
        </w:rPr>
        <w:t xml:space="preserve">系统、</w:t>
      </w:r>
      <w:r>
        <w:rPr>
          <w:rFonts w:hint="eastAsia" w:ascii="宋体" w:hAnsi="宋体" w:cs="宋体"/>
          <w:sz w:val="24"/>
          <w:szCs w:val="24"/>
          <w:highlight w:val="none"/>
          <w:lang w:eastAsia="zh-CN"/>
        </w:rPr>
        <w:t xml:space="preserve">压缩空气系统</w:t>
      </w:r>
      <w:r>
        <w:rPr>
          <w:rFonts w:hint="eastAsia" w:ascii="宋体" w:hAnsi="宋体" w:eastAsia="宋体" w:cs="宋体"/>
          <w:sz w:val="24"/>
          <w:szCs w:val="24"/>
          <w:highlight w:val="none"/>
          <w:lang w:eastAsia="zh-CN"/>
        </w:rPr>
        <w:t xml:space="preserve">及配套设</w:t>
      </w:r>
      <w:r>
        <w:rPr>
          <w:rFonts w:hint="eastAsia" w:ascii="宋体" w:hAnsi="宋体" w:cs="宋体"/>
          <w:sz w:val="24"/>
          <w:szCs w:val="24"/>
          <w:highlight w:val="none"/>
          <w:lang w:eastAsia="zh-CN"/>
        </w:rPr>
        <w:t xml:space="preserve">施</w:t>
      </w:r>
      <w:r>
        <w:rPr>
          <w:rFonts w:hint="eastAsia" w:ascii="宋体" w:hAnsi="宋体" w:eastAsia="宋体" w:cs="宋体"/>
          <w:sz w:val="24"/>
          <w:szCs w:val="24"/>
          <w:highlight w:val="none"/>
          <w:lang w:val="en-US" w:eastAsia="zh-CN"/>
        </w:rPr>
        <w:t xml:space="preserve">、装饰拆改</w:t>
      </w:r>
      <w:r>
        <w:rPr>
          <w:rFonts w:hint="eastAsia" w:ascii="宋体" w:hAnsi="宋体" w:cs="宋体"/>
          <w:sz w:val="24"/>
          <w:szCs w:val="24"/>
          <w:highlight w:val="none"/>
          <w:lang w:val="en-US" w:eastAsia="zh-CN"/>
        </w:rPr>
        <w:t xml:space="preserve">、水电及弱电改造</w:t>
      </w:r>
      <w:r>
        <w:rPr>
          <w:rFonts w:hint="eastAsia" w:ascii="宋体" w:hAnsi="宋体" w:eastAsia="宋体" w:cs="宋体"/>
          <w:sz w:val="24"/>
          <w:szCs w:val="24"/>
          <w:highlight w:val="none"/>
          <w:lang w:val="en-US" w:eastAsia="zh-CN"/>
        </w:rPr>
        <w:t xml:space="preserve">等</w:t>
      </w:r>
      <w:r>
        <w:rPr>
          <w:rFonts w:hint="eastAsia" w:ascii="宋体" w:hAnsi="宋体" w:cs="宋体"/>
          <w:color w:val="000000"/>
          <w:sz w:val="24"/>
          <w:highlight w:val="none"/>
        </w:rPr>
        <w:t xml:space="preserve">，详见磋商文件、施工图纸及工程量清单，请仔细研究。</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u w:val="none"/>
          <w:lang w:val="en-US" w:eastAsia="zh-CN"/>
        </w:rPr>
        <w:t xml:space="preserve">45</w:t>
      </w:r>
      <w:r>
        <w:rPr>
          <w:rFonts w:hint="eastAsia" w:ascii="宋体" w:hAnsi="宋体" w:cs="宋体"/>
          <w:color w:val="000000"/>
          <w:sz w:val="24"/>
          <w:highlight w:val="none"/>
        </w:rPr>
        <w:t xml:space="preserve">日历天。开工日期以发包人签发的书面开工通知为准。</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本项目(是/否)接受联合体响应：否。</w:t>
      </w:r>
      <w:r/>
    </w:p>
    <w:p>
      <w:pPr>
        <w:ind w:firstLine="56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w:t>
      </w:r>
      <w:r>
        <w:rPr>
          <w:rFonts w:hint="eastAsia" w:ascii="宋体" w:hAnsi="宋体" w:cs="宋体"/>
          <w:color w:val="000000"/>
          <w:sz w:val="24"/>
          <w:highlight w:val="none"/>
          <w:u w:val="single"/>
        </w:rPr>
        <w:t xml:space="preserve"> 不 </w:t>
      </w:r>
      <w:r>
        <w:rPr>
          <w:rFonts w:hint="eastAsia" w:ascii="宋体" w:hAnsi="宋体" w:cs="宋体"/>
          <w:color w:val="000000"/>
          <w:sz w:val="24"/>
          <w:highlight w:val="none"/>
        </w:rPr>
        <w:t xml:space="preserve">接受分包。</w:t>
      </w:r>
      <w:r/>
    </w:p>
    <w:p>
      <w:pPr>
        <w:ind w:firstLine="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二、供应商的资格要求：</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(一)满足《中华人民共和国政府采购法》第二十二条规定</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有效的投标人符合《政府采购法》第二十二条规定条件的承诺函(格式见附件1)。</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有效的法定代表人身份证明书(格式见附件2)。</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委托代理人的授权委托书及委托代理人为供应商正式员工的证明材料，须提供</w:t>
      </w:r>
      <w:r>
        <w:rPr>
          <w:rFonts w:hint="eastAsia" w:ascii="宋体" w:hAnsi="宋体" w:cs="宋体"/>
          <w:color w:val="000000"/>
          <w:sz w:val="24"/>
          <w:highlight w:val="none"/>
        </w:rPr>
        <w:t xml:space="preserve">有效的授权委托书(格式见附件3)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有效的响应供应商与</w:t>
      </w:r>
      <w:r>
        <w:rPr>
          <w:rFonts w:hint="eastAsia" w:ascii="宋体" w:hAnsi="宋体" w:cs="宋体"/>
          <w:color w:val="000000"/>
          <w:sz w:val="24"/>
          <w:highlight w:val="none"/>
          <w:lang w:eastAsia="zh-CN"/>
        </w:rPr>
        <w:t xml:space="preserve">委托代理</w:t>
      </w:r>
      <w:r>
        <w:rPr>
          <w:rFonts w:hint="eastAsia" w:ascii="宋体" w:hAnsi="宋体" w:cs="宋体"/>
          <w:color w:val="000000"/>
          <w:sz w:val="24"/>
          <w:highlight w:val="none"/>
        </w:rPr>
        <w:t xml:space="preserve">人双方签订的有效劳动合同书</w:t>
      </w:r>
      <w:r>
        <w:rPr>
          <w:rFonts w:hint="eastAsia" w:ascii="宋体" w:hAnsi="宋体" w:cs="宋体"/>
          <w:color w:val="000000"/>
          <w:sz w:val="24"/>
          <w:highlight w:val="none"/>
          <w:lang w:eastAsia="zh-CN"/>
        </w:rPr>
        <w:t xml:space="preserve">及社保机构出具的该供应商为其缴纳近期（至少缴纳了</w:t>
      </w:r>
      <w:r>
        <w:rPr>
          <w:rFonts w:hint="eastAsia" w:ascii="宋体" w:hAnsi="宋体" w:cs="宋体"/>
          <w:color w:val="000000"/>
          <w:sz w:val="24"/>
          <w:highlight w:val="none"/>
          <w:lang w:val="en-US" w:eastAsia="zh-CN"/>
        </w:rPr>
        <w:t xml:space="preserve">2025年9月至2025年11月期间任意1个月）</w:t>
      </w:r>
      <w:r>
        <w:rPr>
          <w:rFonts w:hint="eastAsia" w:ascii="宋体" w:hAnsi="宋体" w:cs="宋体"/>
          <w:color w:val="000000"/>
          <w:sz w:val="24"/>
          <w:highlight w:val="none"/>
          <w:lang w:eastAsia="zh-CN"/>
        </w:rPr>
        <w:t xml:space="preserve">养老保险的证明材料</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有效的营业执照扫描件。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响应供应商须有效的</w:t>
      </w:r>
      <w:r>
        <w:rPr>
          <w:rFonts w:hint="eastAsia" w:ascii="宋体" w:hAnsi="宋体"/>
          <w:b/>
          <w:bCs/>
          <w:sz w:val="24"/>
          <w:szCs w:val="24"/>
          <w:highlight w:val="none"/>
          <w:lang w:eastAsia="zh-CN"/>
        </w:rPr>
        <w:t xml:space="preserve">建筑机电安装工程专业承包叁级及以上施工资质</w:t>
      </w:r>
      <w:r>
        <w:rPr>
          <w:rFonts w:hint="eastAsia" w:ascii="宋体" w:hAnsi="宋体" w:cs="宋体"/>
          <w:color w:val="000000"/>
          <w:sz w:val="24"/>
          <w:highlight w:val="none"/>
        </w:rPr>
        <w:t xml:space="preserve">，提供有效的企业资质证书扫描件。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提供有效的安全生产许可证扫描件。</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outlineLvl w:val="1"/>
      </w:pPr>
      <w:r>
        <w:rPr>
          <w:rFonts w:hint="eastAsia" w:ascii="宋体" w:hAnsi="宋体" w:eastAsia="宋体" w:cs="宋体"/>
          <w:color w:val="000000"/>
          <w:sz w:val="24"/>
          <w:highlight w:val="none"/>
          <w:lang w:val="en-US" w:eastAsia="zh-CN"/>
        </w:rPr>
        <w:t xml:space="preserve">7. 供应商须具有有</w:t>
      </w:r>
      <w:r>
        <w:rPr>
          <w:rFonts w:hint="eastAsia" w:ascii="宋体" w:hAnsi="宋体"/>
          <w:sz w:val="24"/>
          <w:szCs w:val="24"/>
          <w:highlight w:val="none"/>
        </w:rPr>
        <w:t xml:space="preserve">效</w:t>
      </w:r>
      <w:r>
        <w:rPr>
          <w:rFonts w:hint="eastAsia" w:ascii="宋体" w:hAnsi="宋体" w:eastAsia="宋体" w:cs="Times New Roman"/>
          <w:sz w:val="24"/>
          <w:szCs w:val="24"/>
          <w:highlight w:val="none"/>
        </w:rPr>
        <w:t xml:space="preserve">的</w:t>
      </w:r>
      <w:r>
        <w:rPr>
          <w:rFonts w:hint="eastAsia"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lang w:eastAsia="zh-CN"/>
        </w:rPr>
        <w:t xml:space="preserve">中华人民共和国</w:t>
      </w:r>
      <w:r>
        <w:rPr>
          <w:rFonts w:hint="eastAsia" w:ascii="宋体" w:hAnsi="宋体" w:eastAsia="宋体" w:cs="Times New Roman"/>
          <w:b/>
          <w:bCs/>
          <w:sz w:val="24"/>
          <w:szCs w:val="24"/>
          <w:highlight w:val="none"/>
        </w:rPr>
        <w:t xml:space="preserve">特种设备</w:t>
      </w:r>
      <w:r>
        <w:rPr>
          <w:rFonts w:hint="eastAsia" w:ascii="宋体" w:hAnsi="宋体" w:eastAsia="宋体" w:cs="Times New Roman"/>
          <w:b/>
          <w:bCs/>
          <w:sz w:val="24"/>
          <w:szCs w:val="24"/>
          <w:highlight w:val="none"/>
          <w:lang w:eastAsia="zh-CN"/>
        </w:rPr>
        <w:t xml:space="preserve">生产许可证（承压类特种设备</w:t>
      </w:r>
      <w:r>
        <w:rPr>
          <w:rFonts w:hint="eastAsia" w:ascii="宋体" w:hAnsi="宋体" w:eastAsia="宋体" w:cs="Times New Roman"/>
          <w:b/>
          <w:bCs/>
          <w:sz w:val="24"/>
          <w:szCs w:val="24"/>
          <w:highlight w:val="none"/>
        </w:rPr>
        <w:t xml:space="preserve">安装</w:t>
      </w:r>
      <w:r>
        <w:rPr>
          <w:rFonts w:hint="eastAsia" w:ascii="宋体" w:hAnsi="宋体" w:eastAsia="宋体" w:cs="Times New Roman"/>
          <w:b/>
          <w:bCs/>
          <w:sz w:val="24"/>
          <w:szCs w:val="24"/>
          <w:highlight w:val="none"/>
          <w:lang w:eastAsia="zh-CN"/>
        </w:rPr>
        <w:t xml:space="preserve">、修理、改造，工业管道安装</w:t>
      </w:r>
      <w:r>
        <w:rPr>
          <w:rFonts w:hint="eastAsia" w:ascii="宋体" w:hAnsi="宋体" w:eastAsia="宋体" w:cs="Times New Roman"/>
          <w:b/>
          <w:bCs/>
          <w:sz w:val="24"/>
          <w:szCs w:val="24"/>
          <w:highlight w:val="none"/>
        </w:rPr>
        <w:t xml:space="preserve">GC2级</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w:t>
      </w:r>
      <w:r>
        <w:rPr>
          <w:rFonts w:hint="eastAsia" w:ascii="宋体" w:hAnsi="宋体" w:eastAsia="宋体" w:cs="Times New Roman"/>
          <w:sz w:val="24"/>
          <w:szCs w:val="24"/>
          <w:highlight w:val="none"/>
        </w:rPr>
        <w:t xml:space="preserve">或</w:t>
      </w:r>
      <w:r>
        <w:rPr>
          <w:rFonts w:hint="eastAsia"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lang w:eastAsia="zh-CN"/>
        </w:rPr>
        <w:t xml:space="preserve">中华人民共和国特种设备安装改造维修许可证（压力管道</w:t>
      </w:r>
      <w:r>
        <w:rPr>
          <w:rFonts w:hint="eastAsia" w:ascii="宋体" w:hAnsi="宋体" w:eastAsia="宋体" w:cs="Times New Roman"/>
          <w:b/>
          <w:bCs/>
          <w:sz w:val="24"/>
          <w:szCs w:val="24"/>
          <w:highlight w:val="none"/>
        </w:rPr>
        <w:t xml:space="preserve">GC2级</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w:t>
      </w:r>
      <w:r>
        <w:rPr>
          <w:rFonts w:hint="eastAsia" w:ascii="宋体" w:hAnsi="宋体" w:eastAsia="宋体" w:cs="Times New Roman"/>
          <w:sz w:val="24"/>
          <w:szCs w:val="24"/>
          <w:highlight w:val="none"/>
        </w:rPr>
        <w:t xml:space="preserve">及以上资质；</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outlineLvl w:val="1"/>
      </w:pPr>
      <w:r>
        <w:rPr>
          <w:rFonts w:hint="eastAsia" w:ascii="宋体" w:hAnsi="宋体" w:eastAsia="宋体" w:cs="Times New Roman"/>
          <w:sz w:val="24"/>
          <w:szCs w:val="24"/>
          <w:highlight w:val="none"/>
          <w:lang w:val="en-US" w:eastAsia="zh-CN"/>
        </w:rPr>
        <w:t xml:space="preserve">8. 供应商</w:t>
      </w:r>
      <w:r>
        <w:rPr>
          <w:rFonts w:hint="eastAsia" w:ascii="宋体" w:hAnsi="宋体" w:eastAsia="宋体" w:cs="Times New Roman"/>
          <w:sz w:val="24"/>
          <w:szCs w:val="24"/>
          <w:highlight w:val="none"/>
          <w:lang w:eastAsia="zh-CN"/>
        </w:rPr>
        <w:t xml:space="preserve">须具有有效的</w:t>
      </w:r>
      <w:r>
        <w:rPr>
          <w:rFonts w:hint="eastAsia" w:ascii="宋体" w:hAnsi="宋体" w:eastAsia="宋体" w:cs="Times New Roman"/>
          <w:b/>
          <w:bCs/>
          <w:sz w:val="24"/>
          <w:szCs w:val="24"/>
          <w:highlight w:val="none"/>
          <w:lang w:eastAsia="zh-CN"/>
        </w:rPr>
        <w:t xml:space="preserve">《医疗器械生产许可证》</w:t>
      </w:r>
      <w:r>
        <w:rPr>
          <w:rFonts w:hint="eastAsia" w:ascii="宋体" w:hAnsi="宋体" w:cs="Times New Roman"/>
          <w:b/>
          <w:bCs/>
          <w:sz w:val="24"/>
          <w:szCs w:val="24"/>
          <w:highlight w:val="none"/>
          <w:lang w:eastAsia="zh-CN"/>
        </w:rPr>
        <w:t xml:space="preserve">（生产范围含医用供气排气设备）</w:t>
      </w:r>
      <w:r>
        <w:rPr>
          <w:rFonts w:hint="eastAsia" w:ascii="宋体" w:hAnsi="宋体" w:cs="Times New Roman"/>
          <w:b/>
          <w:bCs/>
          <w:sz w:val="24"/>
          <w:szCs w:val="24"/>
          <w:highlight w:val="none"/>
          <w:lang w:eastAsia="zh-CN"/>
        </w:rPr>
        <w:t xml:space="preserve">和</w:t>
      </w:r>
      <w:r>
        <w:rPr>
          <w:rFonts w:hint="eastAsia" w:ascii="宋体" w:hAnsi="宋体" w:eastAsia="宋体" w:cs="Times New Roman"/>
          <w:b/>
          <w:bCs/>
          <w:sz w:val="24"/>
          <w:szCs w:val="24"/>
          <w:highlight w:val="none"/>
          <w:lang w:eastAsia="zh-CN"/>
        </w:rPr>
        <w:t xml:space="preserve">《中华人民共和国医疗器械注册证》</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产品至少同时含有</w:t>
      </w:r>
      <w:r>
        <w:rPr>
          <w:rFonts w:hint="eastAsia" w:ascii="宋体" w:hAnsi="宋体" w:eastAsia="宋体" w:cs="宋体"/>
          <w:b/>
          <w:bCs/>
          <w:sz w:val="24"/>
          <w:szCs w:val="24"/>
          <w:highlight w:val="none"/>
          <w:lang w:eastAsia="zh-CN"/>
        </w:rPr>
        <w:t xml:space="preserve">①</w:t>
      </w:r>
      <w:r>
        <w:rPr>
          <w:rFonts w:hint="eastAsia" w:ascii="宋体" w:hAnsi="宋体" w:eastAsia="宋体" w:cs="Times New Roman"/>
          <w:b/>
          <w:bCs/>
          <w:sz w:val="24"/>
          <w:szCs w:val="24"/>
          <w:highlight w:val="none"/>
          <w:lang w:eastAsia="zh-CN"/>
        </w:rPr>
        <w:t xml:space="preserve">医用中心吸引系统</w:t>
      </w:r>
      <w:r>
        <w:rPr>
          <w:rFonts w:hint="eastAsia" w:ascii="宋体" w:hAnsi="宋体" w:eastAsia="宋体" w:cs="宋体"/>
          <w:b/>
          <w:bCs/>
          <w:sz w:val="24"/>
          <w:szCs w:val="24"/>
          <w:highlight w:val="none"/>
          <w:lang w:eastAsia="zh-CN"/>
        </w:rPr>
        <w:t xml:space="preserve">②</w:t>
      </w:r>
      <w:r>
        <w:rPr>
          <w:rFonts w:hint="eastAsia" w:ascii="宋体" w:hAnsi="宋体" w:eastAsia="宋体" w:cs="Times New Roman"/>
          <w:b/>
          <w:bCs/>
          <w:sz w:val="24"/>
          <w:szCs w:val="24"/>
          <w:highlight w:val="none"/>
          <w:lang w:eastAsia="zh-CN"/>
        </w:rPr>
        <w:t xml:space="preserve">医用空气系统或医用空气集中供应系统</w:t>
      </w:r>
      <w:r>
        <w:rPr>
          <w:rFonts w:hint="eastAsia" w:ascii="宋体" w:hAnsi="宋体" w:cs="Times New Roman"/>
          <w:b/>
          <w:bCs/>
          <w:sz w:val="24"/>
          <w:szCs w:val="24"/>
          <w:highlight w:val="none"/>
          <w:lang w:eastAsia="zh-CN"/>
        </w:rPr>
        <w:t xml:space="preserve">）</w:t>
      </w:r>
      <w:r>
        <w:rPr>
          <w:rFonts w:hint="eastAsia" w:ascii="宋体" w:hAnsi="宋体" w:cs="Times New Roman"/>
          <w:b/>
          <w:bCs/>
          <w:sz w:val="24"/>
          <w:szCs w:val="24"/>
          <w:highlight w:val="none"/>
          <w:lang w:eastAsia="zh-CN"/>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 </w:t>
      </w:r>
      <w:r>
        <w:rPr>
          <w:rFonts w:hint="eastAsia" w:ascii="宋体" w:hAnsi="宋体" w:cs="宋体"/>
          <w:color w:val="000000"/>
          <w:sz w:val="24"/>
          <w:highlight w:val="none"/>
        </w:rPr>
        <w:t xml:space="preserve">响应供应商拟派项目负责人须具备有效的</w:t>
      </w:r>
      <w:r>
        <w:rPr>
          <w:rFonts w:hint="eastAsia" w:ascii="宋体" w:hAnsi="宋体"/>
          <w:b/>
          <w:bCs/>
          <w:sz w:val="24"/>
          <w:szCs w:val="24"/>
          <w:highlight w:val="none"/>
          <w:lang w:eastAsia="zh-CN"/>
        </w:rPr>
        <w:t xml:space="preserve">机电</w:t>
      </w:r>
      <w:r>
        <w:rPr>
          <w:rFonts w:hint="eastAsia" w:ascii="宋体" w:hAnsi="宋体"/>
          <w:b/>
          <w:bCs/>
          <w:sz w:val="24"/>
          <w:szCs w:val="24"/>
          <w:highlight w:val="none"/>
        </w:rPr>
        <w:t xml:space="preserve">工程专业贰级及以上</w:t>
      </w:r>
      <w:r>
        <w:rPr>
          <w:rFonts w:hint="eastAsia" w:ascii="宋体" w:hAnsi="宋体"/>
          <w:b w:val="0"/>
          <w:bCs w:val="0"/>
          <w:sz w:val="24"/>
          <w:szCs w:val="24"/>
          <w:highlight w:val="none"/>
          <w:lang w:eastAsia="zh-CN"/>
        </w:rPr>
        <w:t xml:space="preserve">的</w:t>
      </w:r>
      <w:r>
        <w:rPr>
          <w:rFonts w:hint="eastAsia" w:ascii="宋体" w:hAnsi="宋体" w:cs="宋体"/>
          <w:color w:val="000000"/>
          <w:sz w:val="24"/>
          <w:highlight w:val="none"/>
        </w:rPr>
        <w:t xml:space="preserve">注册建造师资格，同时具有建筑施工企业安全生产考核合格证书(B证)(以上证书的注册单位均为本供应商)，须提供有效的建造师注册证书和建筑施工企业安全生产考核合格证书(B证)的扫描件。</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特别提醒：①如本项目投标人拟派的项目负责人为一级注册建造师的，必须根据《办公厅关于全面实行一级建造师电子注册证书的通知》（建办市〔2021〕40号）文件要求执行。②注册地为江苏省内的企业，如拟派项目负责人为二级建造师的，必须按照《省住房和城乡建设厅关于我省二级建造师、二级造价工程师、二级注册建筑师、二级注册结构工程师注册证书电子证照换发的公告》(〔2023〕第26号)文件要求换发新的注册证书电子证照，否则不予认可。</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响应供应商拟派项目负责人为投标人的正式员工，提供有效的响应供应商与拟派项目负责人双方签订的有效劳动合同书</w:t>
      </w:r>
      <w:r>
        <w:rPr>
          <w:rFonts w:hint="eastAsia" w:ascii="宋体" w:hAnsi="宋体" w:cs="宋体"/>
          <w:color w:val="000000"/>
          <w:sz w:val="24"/>
          <w:highlight w:val="none"/>
          <w:lang w:eastAsia="zh-CN"/>
        </w:rPr>
        <w:t xml:space="preserve">及社保机构出具的该供应商为其缴纳近期（至少缴纳了</w:t>
      </w:r>
      <w:r>
        <w:rPr>
          <w:rFonts w:hint="eastAsia" w:ascii="宋体" w:hAnsi="宋体" w:cs="宋体"/>
          <w:color w:val="000000"/>
          <w:sz w:val="24"/>
          <w:highlight w:val="none"/>
          <w:lang w:val="en-US" w:eastAsia="zh-CN"/>
        </w:rPr>
        <w:t xml:space="preserve">2025年9月至2025年11月期间任意1个月）</w:t>
      </w:r>
      <w:r>
        <w:rPr>
          <w:rFonts w:hint="eastAsia" w:ascii="宋体" w:hAnsi="宋体" w:cs="宋体"/>
          <w:color w:val="000000"/>
          <w:sz w:val="24"/>
          <w:highlight w:val="none"/>
          <w:lang w:eastAsia="zh-CN"/>
        </w:rPr>
        <w:t xml:space="preserve">养老保险的证明材料</w:t>
      </w:r>
      <w:r>
        <w:rPr>
          <w:rFonts w:hint="eastAsia" w:ascii="宋体" w:hAnsi="宋体" w:cs="宋体"/>
          <w:color w:val="000000"/>
          <w:sz w:val="24"/>
          <w:highlight w:val="none"/>
        </w:rPr>
        <w:t xml:space="preserve">。</w:t>
      </w:r>
      <w:r/>
    </w:p>
    <w:p>
      <w:pPr>
        <w:pStyle w:val="701"/>
        <w:ind w:left="0" w:firstLine="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 提供有效的拟派项目负责人无在建工程承诺书(格式见附件4)。</w:t>
      </w:r>
      <w:r/>
    </w:p>
    <w:p>
      <w:pPr>
        <w:pStyle w:val="701"/>
        <w:ind w:left="0" w:firstLine="480"/>
        <w:spacing w:after="0" w:line="360" w:lineRule="auto"/>
        <w:rPr>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 提供有效的供应商信用承诺书(格式见附件5)。</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专门面向中小企业，不享受价格扣除优惠政策。供应商应为中小微企业、监狱企业或残疾人福利性单位，并按照磋商文件要求提供《中小企业声明函》、《残疾人福利性单位声明函》或监狱和戒毒所企业证明材料。(格式见附件11\附件12\附件13)。</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(三)本项目的特定资格要求：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1.供应商未被“信用中国”网站（www.creditchina.gov.cn）列入失信被执行人、重大税收违法案件当事人名单、政府采购严重失信行为记录名单(代理机构现场查询,截图留存并归档)。</w:t>
      </w:r>
      <w:r/>
    </w:p>
    <w:p>
      <w:pPr>
        <w:ind w:firstLine="480"/>
        <w:spacing w:line="360" w:lineRule="auto"/>
        <w:shd w:val="clear" w:color="auto" w:fill="ffffff"/>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 根据《关于在我省国有资金投资工程建设项目招标投标中应用建筑企业资质动态监管结果有关要求的通知》（苏建招办【2022】2号）文件要求，供应商在响应文件递交截止时间当日，建筑业企业资质（仅指本项目要求的资质）动态监管结果不处于不合格状态(代理机构现场查询，对动态监管处于不合格状态的供应商进行截图保存)。</w:t>
      </w:r>
      <w:r/>
    </w:p>
    <w:p>
      <w:pPr>
        <w:ind w:firstLine="480"/>
        <w:spacing w:line="360" w:lineRule="auto"/>
        <w:shd w:val="clear" w:color="auto" w:fill="ffffff"/>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注：供应商某项被核查为不合格的资质，不得参加该资质的招投标、合同备案等经营活动。请各潜在供应商引起重视，公告发布之日起自行查询，及时整改，对于在磋商响应文件递交截止时间当日动态监管处于不合格状态的供应商，视为资格审查不通过。查询方式：登录江苏省建筑市场监管与诚信信息一体化平台-企业信息-施工企业-动态监管不合格资质查询。</w:t>
      </w:r>
      <w:r/>
    </w:p>
    <w:p>
      <w:pPr>
        <w:pStyle w:val="688"/>
        <w:ind w:firstLine="480"/>
        <w:spacing w:line="360" w:lineRule="auto"/>
        <w:rPr>
          <w:rFonts w:hint="default" w:eastAsia="宋体"/>
          <w:highlight w:val="none"/>
          <w:lang w:val="en-US" w:eastAsia="zh-CN"/>
        </w:rPr>
      </w:pPr>
      <w:r>
        <w:rPr>
          <w:rFonts w:hint="eastAsia" w:ascii="宋体" w:hAnsi="宋体" w:cs="宋体"/>
          <w:color w:val="000000"/>
          <w:sz w:val="24"/>
          <w:highlight w:val="none"/>
          <w:shd w:val="clear" w:color="auto" w:fill="ffffff"/>
          <w:lang w:eastAsia="zh-CN"/>
        </w:rPr>
        <w:t xml:space="preserve">具体资格审查资料详见“第六部分</w:t>
      </w:r>
      <w:r>
        <w:rPr>
          <w:rFonts w:hint="eastAsia" w:ascii="宋体" w:hAnsi="宋体" w:cs="宋体"/>
          <w:color w:val="000000"/>
          <w:sz w:val="24"/>
          <w:highlight w:val="none"/>
          <w:shd w:val="clear" w:color="auto" w:fill="ffffff"/>
          <w:lang w:val="en-US" w:eastAsia="zh-CN"/>
        </w:rPr>
        <w:t xml:space="preserve"> 响应文件部分”组成。</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三、获取采购文件</w:t>
      </w:r>
      <w:r/>
    </w:p>
    <w:p>
      <w:pPr>
        <w:ind w:firstLine="480"/>
        <w:jc w:val="left"/>
        <w:spacing w:line="360" w:lineRule="auto"/>
        <w:rPr>
          <w:rStyle w:val="1008"/>
          <w:rFonts w:hint="eastAsia" w:ascii="宋体" w:hAnsi="宋体" w:cs="宋体"/>
          <w:bCs/>
          <w:sz w:val="24"/>
          <w:highlight w:val="none"/>
        </w:rPr>
      </w:pPr>
      <w:r>
        <w:rPr>
          <w:rStyle w:val="1008"/>
          <w:rFonts w:hint="eastAsia" w:ascii="宋体" w:hAnsi="宋体" w:cs="宋体"/>
          <w:bCs/>
          <w:sz w:val="24"/>
          <w:highlight w:val="none"/>
        </w:rPr>
        <w:t xml:space="preserve">时间：自磋商文件公告发布之日起5个工作日</w:t>
      </w:r>
      <w:r/>
    </w:p>
    <w:p>
      <w:pPr>
        <w:ind w:firstLine="480"/>
        <w:jc w:val="left"/>
        <w:spacing w:line="360" w:lineRule="auto"/>
        <w:rPr>
          <w:rStyle w:val="1008"/>
          <w:rFonts w:hint="eastAsia" w:ascii="宋体" w:hAnsi="宋体" w:cs="宋体"/>
          <w:bCs/>
          <w:sz w:val="24"/>
          <w:highlight w:val="none"/>
        </w:rPr>
      </w:pPr>
      <w:r>
        <w:rPr>
          <w:rStyle w:val="1008"/>
          <w:rFonts w:hint="eastAsia" w:ascii="宋体" w:hAnsi="宋体" w:cs="宋体"/>
          <w:bCs/>
          <w:sz w:val="24"/>
          <w:highlight w:val="none"/>
        </w:rPr>
        <w:t xml:space="preserve">地点：江苏省政府采购网</w:t>
      </w:r>
      <w:r/>
    </w:p>
    <w:p>
      <w:pPr>
        <w:ind w:firstLine="480"/>
        <w:jc w:val="left"/>
        <w:spacing w:line="360" w:lineRule="auto"/>
        <w:rPr>
          <w:rStyle w:val="1008"/>
          <w:rFonts w:hint="eastAsia" w:ascii="宋体" w:hAnsi="宋体" w:cs="宋体"/>
          <w:bCs/>
          <w:sz w:val="24"/>
          <w:highlight w:val="none"/>
        </w:rPr>
      </w:pPr>
      <w:r>
        <w:rPr>
          <w:rStyle w:val="1008"/>
          <w:rFonts w:hint="eastAsia" w:ascii="宋体" w:hAnsi="宋体" w:cs="宋体"/>
          <w:bCs/>
          <w:sz w:val="24"/>
          <w:highlight w:val="none"/>
        </w:rPr>
        <w:t xml:space="preserve">方式：</w:t>
      </w:r>
      <w:r>
        <w:rPr>
          <w:rFonts w:hint="eastAsia" w:ascii="宋体" w:hAnsi="宋体" w:cs="宋体"/>
          <w:sz w:val="24"/>
          <w:szCs w:val="24"/>
          <w:highlight w:val="none"/>
        </w:rPr>
        <w:t xml:space="preserve">凡有意参与投标的供应商须登录江苏省政府采购网首页点击“苏采云”→通过CA锁进行响应确认，并自行在招标文件有效获取期内及时下载获取</w:t>
      </w:r>
      <w:r>
        <w:rPr>
          <w:rFonts w:hint="eastAsia" w:ascii="宋体" w:hAnsi="宋体" w:cs="宋体"/>
          <w:sz w:val="24"/>
          <w:szCs w:val="24"/>
          <w:highlight w:val="none"/>
          <w:lang w:eastAsia="zh-CN"/>
        </w:rPr>
        <w:t xml:space="preserve">。</w:t>
      </w:r>
      <w:r/>
    </w:p>
    <w:p>
      <w:pPr>
        <w:ind w:firstLine="420"/>
        <w:jc w:val="left"/>
        <w:spacing w:line="360" w:lineRule="auto"/>
        <w:rPr>
          <w:rStyle w:val="1008"/>
          <w:rFonts w:hint="eastAsia" w:ascii="宋体" w:hAnsi="宋体" w:cs="宋体"/>
          <w:bCs/>
          <w:sz w:val="24"/>
          <w:highlight w:val="none"/>
        </w:rPr>
      </w:pPr>
      <w:r>
        <w:rPr>
          <w:rStyle w:val="1008"/>
          <w:rFonts w:hint="eastAsia" w:ascii="宋体" w:hAnsi="宋体" w:cs="宋体"/>
          <w:bCs/>
          <w:sz w:val="24"/>
          <w:highlight w:val="none"/>
        </w:rPr>
        <w:t xml:space="preserve">售价：0.00元。</w:t>
      </w:r>
      <w:r/>
    </w:p>
    <w:p>
      <w:pPr>
        <w:pStyle w:val="666"/>
        <w:ind w:firstLine="480"/>
        <w:keepLines w:val="0"/>
        <w:keepNext w:val="0"/>
        <w:spacing w:before="0"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四、响应文件的提交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1、截止时间：</w:t>
      </w:r>
      <w:r>
        <w:rPr>
          <w:rFonts w:hint="eastAsia" w:ascii="宋体" w:hAnsi="宋体" w:cs="宋体"/>
          <w:b/>
          <w:bCs/>
          <w:sz w:val="24"/>
          <w:highlight w:val="none"/>
          <w:u w:val="single"/>
        </w:rPr>
        <w:t xml:space="preserve">2025年</w:t>
      </w:r>
      <w:r>
        <w:rPr>
          <w:rFonts w:hint="eastAsia" w:ascii="宋体" w:hAnsi="宋体" w:cs="宋体"/>
          <w:b/>
          <w:bCs/>
          <w:sz w:val="24"/>
          <w:highlight w:val="none"/>
          <w:u w:val="single"/>
          <w:lang w:val="en-US" w:eastAsia="zh-CN"/>
        </w:rPr>
        <w:t xml:space="preserve">11</w:t>
      </w:r>
      <w:r>
        <w:rPr>
          <w:rFonts w:hint="eastAsia" w:ascii="宋体" w:hAnsi="宋体" w:cs="宋体"/>
          <w:b/>
          <w:bCs/>
          <w:sz w:val="24"/>
          <w:highlight w:val="none"/>
          <w:u w:val="single"/>
        </w:rPr>
        <w:t xml:space="preserve">月</w:t>
      </w:r>
      <w:r>
        <w:rPr>
          <w:rFonts w:hint="eastAsia" w:ascii="宋体" w:hAnsi="宋体" w:cs="宋体"/>
          <w:b/>
          <w:bCs/>
          <w:sz w:val="24"/>
          <w:highlight w:val="none"/>
          <w:u w:val="single"/>
          <w:lang w:val="en-US" w:eastAsia="zh-CN"/>
        </w:rPr>
        <w:t xml:space="preserve">20</w:t>
      </w:r>
      <w:r>
        <w:rPr>
          <w:rFonts w:hint="eastAsia" w:ascii="宋体" w:hAnsi="宋体" w:cs="宋体"/>
          <w:b/>
          <w:bCs/>
          <w:sz w:val="24"/>
          <w:highlight w:val="none"/>
          <w:u w:val="single"/>
        </w:rPr>
        <w:t xml:space="preserve">日</w:t>
      </w:r>
      <w:r>
        <w:rPr>
          <w:rFonts w:hint="eastAsia" w:ascii="宋体" w:hAnsi="宋体" w:cs="宋体"/>
          <w:b/>
          <w:bCs/>
          <w:sz w:val="24"/>
          <w:highlight w:val="none"/>
          <w:u w:val="single"/>
          <w:lang w:val="en-US" w:eastAsia="zh-CN"/>
        </w:rPr>
        <w:t xml:space="preserve">14</w:t>
      </w:r>
      <w:r>
        <w:rPr>
          <w:rFonts w:hint="eastAsia" w:ascii="宋体" w:hAnsi="宋体" w:cs="宋体"/>
          <w:b/>
          <w:bCs/>
          <w:sz w:val="24"/>
          <w:highlight w:val="none"/>
          <w:u w:val="single"/>
        </w:rPr>
        <w:t xml:space="preserve">时</w:t>
      </w:r>
      <w:r>
        <w:rPr>
          <w:rFonts w:hint="eastAsia" w:ascii="宋体" w:hAnsi="宋体" w:cs="宋体"/>
          <w:b/>
          <w:bCs/>
          <w:sz w:val="24"/>
          <w:highlight w:val="none"/>
          <w:u w:val="single"/>
          <w:lang w:val="en-US" w:eastAsia="zh-CN"/>
        </w:rPr>
        <w:t xml:space="preserve">3</w:t>
      </w:r>
      <w:r>
        <w:rPr>
          <w:rFonts w:hint="eastAsia" w:ascii="宋体" w:hAnsi="宋体" w:cs="宋体"/>
          <w:b/>
          <w:bCs/>
          <w:sz w:val="24"/>
          <w:highlight w:val="none"/>
          <w:u w:val="single"/>
        </w:rPr>
        <w:t xml:space="preserve">0</w:t>
      </w:r>
      <w:r>
        <w:rPr>
          <w:rFonts w:hint="eastAsia" w:ascii="宋体" w:hAnsi="宋体" w:cs="宋体"/>
          <w:b/>
          <w:bCs/>
          <w:sz w:val="24"/>
          <w:highlight w:val="none"/>
          <w:u w:val="single"/>
        </w:rPr>
        <w:t xml:space="preserve">分00秒</w:t>
      </w:r>
      <w:r>
        <w:rPr>
          <w:rFonts w:hint="eastAsia" w:ascii="宋体" w:hAnsi="宋体" w:cs="宋体"/>
          <w:b/>
          <w:bCs/>
          <w:sz w:val="24"/>
          <w:highlight w:val="none"/>
        </w:rPr>
        <w:t xml:space="preserve">（北京时间）</w:t>
      </w:r>
      <w:r>
        <w:rPr>
          <w:rFonts w:hint="eastAsia" w:ascii="宋体" w:hAnsi="宋体" w:cs="宋体"/>
          <w:sz w:val="24"/>
          <w:highlight w:val="none"/>
        </w:rPr>
        <w:t xml:space="preserve">。逾时，“苏采云”系统将拒绝接受上传响应文件电子文档。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en-US"/>
        </w:rPr>
        <w:t xml:space="preserve">地点：“苏采云”系统（网址：http://jszfcg.jsczt.cn/）</w:t>
      </w:r>
      <w:r>
        <w:rPr>
          <w:rFonts w:hint="eastAsia" w:ascii="宋体" w:hAnsi="宋体" w:cs="宋体"/>
          <w:sz w:val="24"/>
          <w:highlight w:val="none"/>
        </w:rPr>
        <w:t xml:space="preserve">。</w:t>
      </w:r>
      <w:r/>
    </w:p>
    <w:p>
      <w:pPr>
        <w:ind w:firstLine="420"/>
        <w:jc w:val="left"/>
        <w:spacing w:line="360" w:lineRule="auto"/>
        <w:rPr>
          <w:rStyle w:val="1008"/>
          <w:rFonts w:hint="eastAsia" w:ascii="宋体" w:hAnsi="宋体" w:cs="宋体"/>
          <w:bCs/>
          <w:sz w:val="24"/>
          <w:highlight w:val="none"/>
        </w:rPr>
      </w:pPr>
      <w:r>
        <w:rPr>
          <w:rStyle w:val="1008"/>
          <w:rFonts w:hint="eastAsia" w:ascii="宋体" w:hAnsi="宋体" w:cs="宋体"/>
          <w:bCs/>
          <w:sz w:val="24"/>
          <w:highlight w:val="none"/>
        </w:rPr>
        <w:t xml:space="preserve">请潜在供应商提前安装相应的控件（详见《江苏省政府采购管理交易系统（苏采云）供应商操作手册》）并使用谷歌浏览器登录“苏采云”系统参与不见面开评标。</w:t>
      </w:r>
      <w:r/>
    </w:p>
    <w:p>
      <w:pPr>
        <w:ind w:firstLine="420"/>
        <w:jc w:val="left"/>
        <w:spacing w:line="360" w:lineRule="auto"/>
        <w:rPr>
          <w:rStyle w:val="1008"/>
          <w:rFonts w:hint="eastAsia" w:ascii="宋体" w:hAnsi="宋体" w:cs="宋体"/>
          <w:bCs/>
          <w:sz w:val="24"/>
          <w:highlight w:val="none"/>
        </w:rPr>
      </w:pPr>
      <w:r>
        <w:rPr>
          <w:rStyle w:val="1008"/>
          <w:rFonts w:hint="eastAsia" w:ascii="宋体" w:hAnsi="宋体" w:cs="宋体"/>
          <w:bCs/>
          <w:sz w:val="24"/>
          <w:highlight w:val="none"/>
        </w:rPr>
        <w:t xml:space="preserve">开评标全过程中，磋商响应供应商一端参与</w:t>
      </w:r>
      <w:r>
        <w:rPr>
          <w:rStyle w:val="1008"/>
          <w:rFonts w:hint="eastAsia" w:ascii="宋体" w:hAnsi="宋体" w:cs="宋体"/>
          <w:bCs/>
          <w:sz w:val="24"/>
          <w:highlight w:val="none"/>
        </w:rPr>
        <w:t xml:space="preserve">交互的人员将均被视为是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r/>
    </w:p>
    <w:p>
      <w:pPr>
        <w:ind w:firstLine="480"/>
        <w:spacing w:line="360" w:lineRule="auto"/>
        <w:rPr>
          <w:rStyle w:val="1008"/>
          <w:rFonts w:hint="eastAsia" w:ascii="宋体" w:hAnsi="宋体" w:cs="宋体"/>
          <w:bCs/>
          <w:sz w:val="24"/>
          <w:highlight w:val="none"/>
        </w:rPr>
      </w:pPr>
      <w:r>
        <w:rPr>
          <w:rStyle w:val="1008"/>
          <w:rFonts w:hint="eastAsia" w:ascii="宋体" w:hAnsi="宋体" w:cs="宋体"/>
          <w:bCs/>
          <w:sz w:val="24"/>
          <w:highlight w:val="none"/>
        </w:rPr>
        <w:t xml:space="preserve">注：如潜在供应商未按上述要求操作，将自行承担所产生的风险。</w:t>
      </w:r>
      <w:r/>
    </w:p>
    <w:p>
      <w:pPr>
        <w:ind w:firstLine="960"/>
        <w:spacing w:line="360" w:lineRule="auto"/>
        <w:rPr>
          <w:rFonts w:hint="eastAsia" w:ascii="宋体" w:hAnsi="宋体" w:cs="宋体"/>
          <w:b/>
          <w:bCs/>
          <w:color w:val="333333"/>
          <w:sz w:val="24"/>
          <w:highlight w:val="none"/>
          <w:shd w:val="clear" w:color="auto" w:fill="ffffff"/>
        </w:rPr>
      </w:pPr>
      <w:r>
        <w:rPr>
          <w:rStyle w:val="1008"/>
          <w:rFonts w:hint="eastAsia" w:ascii="宋体" w:hAnsi="宋体" w:cs="宋体"/>
          <w:bCs/>
          <w:sz w:val="24"/>
          <w:highlight w:val="none"/>
        </w:rPr>
        <w:t xml:space="preserve">本项目响应文件是指上传于“苏采云”系统的电子响应文件。</w:t>
      </w:r>
      <w:r/>
    </w:p>
    <w:p>
      <w:pPr>
        <w:pStyle w:val="666"/>
        <w:ind w:firstLine="480"/>
        <w:keepLines w:val="0"/>
        <w:keepNext w:val="0"/>
        <w:spacing w:before="0"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五、开启</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rPr>
        <w:t xml:space="preserve">1、时间：</w:t>
      </w:r>
      <w:r>
        <w:rPr>
          <w:rFonts w:hint="eastAsia" w:ascii="宋体" w:hAnsi="宋体" w:cs="宋体"/>
          <w:sz w:val="24"/>
          <w:highlight w:val="none"/>
          <w:u w:val="single"/>
        </w:rPr>
        <w:t xml:space="preserve">2025年</w:t>
      </w:r>
      <w:r>
        <w:rPr>
          <w:rFonts w:hint="eastAsia" w:ascii="宋体" w:hAnsi="宋体" w:cs="宋体"/>
          <w:sz w:val="24"/>
          <w:highlight w:val="none"/>
          <w:u w:val="single"/>
          <w:lang w:val="en-US" w:eastAsia="zh-CN"/>
        </w:rPr>
        <w:t xml:space="preserve">11</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20</w:t>
      </w:r>
      <w:r>
        <w:rPr>
          <w:rFonts w:hint="eastAsia" w:ascii="宋体" w:hAnsi="宋体" w:cs="宋体"/>
          <w:sz w:val="24"/>
          <w:highlight w:val="none"/>
          <w:u w:val="single"/>
        </w:rPr>
        <w:t xml:space="preserve">日</w:t>
      </w:r>
      <w:r>
        <w:rPr>
          <w:rFonts w:hint="eastAsia" w:ascii="宋体" w:hAnsi="宋体" w:cs="宋体"/>
          <w:sz w:val="24"/>
          <w:highlight w:val="none"/>
          <w:u w:val="single"/>
          <w:lang w:val="en-US" w:eastAsia="zh-CN"/>
        </w:rPr>
        <w:t xml:space="preserve">14</w:t>
      </w:r>
      <w:r>
        <w:rPr>
          <w:rFonts w:hint="eastAsia" w:ascii="宋体" w:hAnsi="宋体" w:cs="宋体"/>
          <w:bCs/>
          <w:sz w:val="24"/>
          <w:highlight w:val="none"/>
          <w:u w:val="single"/>
        </w:rPr>
        <w:t xml:space="preserve">时</w:t>
      </w:r>
      <w:r>
        <w:rPr>
          <w:rFonts w:hint="eastAsia" w:ascii="宋体" w:hAnsi="宋体" w:cs="宋体"/>
          <w:bCs/>
          <w:sz w:val="24"/>
          <w:highlight w:val="none"/>
          <w:u w:val="single"/>
          <w:lang w:val="en-US" w:eastAsia="zh-CN"/>
        </w:rPr>
        <w:t xml:space="preserve">3</w:t>
      </w:r>
      <w:r>
        <w:rPr>
          <w:rFonts w:hint="eastAsia" w:ascii="宋体" w:hAnsi="宋体" w:cs="宋体"/>
          <w:bCs/>
          <w:sz w:val="24"/>
          <w:highlight w:val="none"/>
          <w:u w:val="single"/>
        </w:rPr>
        <w:t xml:space="preserve">0分</w:t>
      </w:r>
      <w:r>
        <w:rPr>
          <w:rFonts w:hint="eastAsia" w:ascii="宋体" w:hAnsi="宋体" w:cs="宋体"/>
          <w:bCs/>
          <w:sz w:val="24"/>
          <w:highlight w:val="none"/>
        </w:rPr>
        <w:t xml:space="preserve">（北京时间）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2、地点：</w:t>
      </w:r>
      <w:r>
        <w:rPr>
          <w:rFonts w:hint="eastAsia" w:ascii="宋体" w:hAnsi="宋体" w:cs="宋体"/>
          <w:sz w:val="24"/>
          <w:highlight w:val="none"/>
          <w:lang w:eastAsia="en-US"/>
        </w:rPr>
        <w:t xml:space="preserve">“苏采云”系统（网址：http://jszfcg.jsczt.cn/）“开标大厅”</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cs="宋体"/>
          <w:b/>
          <w:sz w:val="24"/>
          <w:highlight w:val="none"/>
        </w:rPr>
        <w:t xml:space="preserve">，供应商解密限定在开标后30分钟之内完成。</w:t>
      </w:r>
      <w:r>
        <w:rPr>
          <w:rFonts w:hint="eastAsia" w:ascii="宋体" w:hAnsi="宋体" w:cs="宋体"/>
          <w:sz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r/>
    </w:p>
    <w:p>
      <w:pPr>
        <w:pStyle w:val="666"/>
        <w:ind w:firstLine="480"/>
        <w:keepLines w:val="0"/>
        <w:keepNext w:val="0"/>
        <w:spacing w:before="0"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各供应商请关注开标大厅交流区，在开标结束后，请勿离开开标大厅。采购单位或采购代理机构通知最后报价填报后，所有的响应供应商须在15分钟内填写并提交最后报价，未在规定时间内提交最后报价的，视作无效响应处理。</w:t>
      </w:r>
      <w:r/>
    </w:p>
    <w:p>
      <w:pPr>
        <w:pStyle w:val="666"/>
        <w:ind w:left="482"/>
        <w:keepLines w:val="0"/>
        <w:keepNext w:val="0"/>
        <w:spacing w:before="0"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六、公告期限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自本公告发布之日起3个工作日。</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七、其他补充事宜：</w:t>
      </w:r>
      <w:r/>
    </w:p>
    <w:p>
      <w:pPr>
        <w:numPr>
          <w:ilvl w:val="0"/>
          <w:numId w:val="1"/>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磋商保证金：本项目不收磋商保证金，采购文件中涉及磋商保证金的事项，均按免收保证金执行。</w:t>
      </w:r>
      <w:r/>
    </w:p>
    <w:p>
      <w:pPr>
        <w:numPr>
          <w:ilvl w:val="0"/>
          <w:numId w:val="1"/>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项目磋商活动模式：不见面远程磋商模式，供应商在各自地点通过不见面交易系统参加开标会。</w:t>
      </w:r>
      <w:r/>
    </w:p>
    <w:p>
      <w:pPr>
        <w:numPr>
          <w:ilvl w:val="0"/>
          <w:numId w:val="1"/>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项目演示、样品、答辩等：无。</w:t>
      </w:r>
      <w:r/>
    </w:p>
    <w:p>
      <w:pPr>
        <w:numPr>
          <w:ilvl w:val="0"/>
          <w:numId w:val="1"/>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对项目需求部分（供应商资格要求、项目需求、商务技术评分标准）的询问、质疑请向采购单位提出，由采购单位负责答复；对项目磋商文件其它部分的询问请向磋商代理机构提出。</w:t>
      </w:r>
      <w:r/>
    </w:p>
    <w:p>
      <w:pPr>
        <w:numPr>
          <w:ilvl w:val="0"/>
          <w:numId w:val="1"/>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pStyle w:val="686"/>
        <w:numPr>
          <w:ilvl w:val="0"/>
          <w:numId w:val="1"/>
        </w:numPr>
        <w:ind w:firstLine="480"/>
        <w:spacing w:line="360" w:lineRule="auto"/>
        <w:rPr>
          <w:rFonts w:hint="eastAsia" w:ascii="宋体" w:hAnsi="宋体" w:eastAsia="宋体" w:cs="Times New Roman"/>
          <w:sz w:val="24"/>
          <w:szCs w:val="24"/>
          <w:highlight w:val="none"/>
        </w:rPr>
      </w:pPr>
      <w:r>
        <w:rPr>
          <w:rFonts w:hint="eastAsia" w:ascii="宋体" w:hAnsi="宋体" w:cs="宋体"/>
          <w:b/>
          <w:bCs/>
          <w:sz w:val="24"/>
          <w:szCs w:val="24"/>
          <w:highlight w:val="none"/>
        </w:rPr>
        <w:t xml:space="preserve">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的成交结果公告获得。</w:t>
      </w:r>
      <w:r/>
    </w:p>
    <w:p>
      <w:pPr>
        <w:ind w:firstLine="560"/>
        <w:spacing w:line="360" w:lineRule="auto"/>
        <w:rPr>
          <w:rFonts w:hint="eastAsia" w:ascii="宋体" w:hAnsi="宋体" w:cs="宋体"/>
          <w:b/>
          <w:bCs/>
          <w:color w:val="000000"/>
          <w:sz w:val="24"/>
          <w:highlight w:val="none"/>
        </w:rPr>
      </w:pPr>
      <w:r>
        <w:rPr>
          <w:rFonts w:hint="eastAsia" w:ascii="宋体" w:hAnsi="宋体" w:cs="宋体"/>
          <w:b/>
          <w:bCs/>
          <w:sz w:val="24"/>
          <w:highlight w:val="none"/>
        </w:rPr>
        <w:t xml:space="preserve">八、凡对本次采购提出询问，请按以下方式联系：</w:t>
      </w:r>
      <w:r/>
    </w:p>
    <w:p>
      <w:pPr>
        <w:ind w:firstLine="480"/>
        <w:jc w:val="left"/>
        <w:spacing w:line="360" w:lineRule="auto"/>
        <w:rPr>
          <w:rFonts w:hint="eastAsia" w:ascii="宋体" w:hAnsi="宋体" w:cs="宋体"/>
          <w:color w:val="333333"/>
          <w:sz w:val="24"/>
          <w:highlight w:val="none"/>
        </w:rPr>
      </w:pPr>
      <w:r>
        <w:rPr>
          <w:rFonts w:hint="eastAsia" w:ascii="宋体" w:hAnsi="宋体" w:cs="宋体"/>
          <w:color w:val="333333"/>
          <w:sz w:val="24"/>
          <w:highlight w:val="none"/>
        </w:rPr>
        <w:t xml:space="preserve">1、采购单位信息</w:t>
      </w:r>
      <w:r/>
    </w:p>
    <w:p>
      <w:pPr>
        <w:ind w:firstLine="480"/>
        <w:jc w:val="left"/>
        <w:spacing w:line="360" w:lineRule="auto"/>
        <w:rPr>
          <w:rFonts w:hint="eastAsia" w:ascii="宋体" w:hAnsi="宋体" w:eastAsia="宋体" w:cs="宋体"/>
          <w:color w:val="333333"/>
          <w:sz w:val="24"/>
          <w:highlight w:val="none"/>
          <w:lang w:eastAsia="zh-CN"/>
        </w:rPr>
      </w:pPr>
      <w:r>
        <w:rPr>
          <w:rFonts w:hint="eastAsia" w:ascii="宋体" w:hAnsi="宋体" w:cs="宋体"/>
          <w:color w:val="333333"/>
          <w:sz w:val="24"/>
          <w:highlight w:val="none"/>
        </w:rPr>
        <w:t xml:space="preserve">名    称：</w:t>
      </w:r>
      <w:r>
        <w:rPr>
          <w:rFonts w:hint="eastAsia" w:ascii="宋体" w:hAnsi="宋体" w:cs="宋体"/>
          <w:color w:val="333333"/>
          <w:sz w:val="24"/>
          <w:highlight w:val="none"/>
          <w:lang w:eastAsia="zh-CN"/>
        </w:rPr>
        <w:t xml:space="preserve">南通市妇幼保健院</w:t>
      </w:r>
      <w:r/>
    </w:p>
    <w:p>
      <w:pPr>
        <w:ind w:firstLine="480"/>
        <w:spacing w:line="360" w:lineRule="auto"/>
        <w:rPr>
          <w:rFonts w:hint="default" w:ascii="宋体" w:hAnsi="宋体" w:cs="宋体"/>
          <w:sz w:val="24"/>
          <w:highlight w:val="none"/>
          <w:lang w:val="en-US" w:eastAsia="zh-CN"/>
        </w:rPr>
      </w:pPr>
      <w:r>
        <w:rPr>
          <w:rFonts w:hint="eastAsia" w:ascii="宋体" w:hAnsi="宋体" w:cs="宋体"/>
          <w:sz w:val="24"/>
          <w:highlight w:val="none"/>
        </w:rPr>
        <w:t xml:space="preserve">地    址：南通市</w:t>
      </w:r>
      <w:r>
        <w:rPr>
          <w:rFonts w:hint="eastAsia" w:ascii="宋体" w:hAnsi="宋体" w:cs="宋体"/>
          <w:sz w:val="24"/>
          <w:highlight w:val="none"/>
          <w:lang w:eastAsia="zh-CN"/>
        </w:rPr>
        <w:t xml:space="preserve">世纪大道</w:t>
      </w:r>
      <w:r>
        <w:rPr>
          <w:rFonts w:hint="eastAsia" w:ascii="宋体" w:hAnsi="宋体" w:cs="宋体"/>
          <w:sz w:val="24"/>
          <w:highlight w:val="none"/>
          <w:lang w:val="en-US" w:eastAsia="zh-CN"/>
        </w:rPr>
        <w:t xml:space="preserve">399号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lang w:eastAsia="zh-CN"/>
        </w:rPr>
        <w:t xml:space="preserve">吴先生</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0513</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89156536</w:t>
      </w:r>
      <w:r/>
    </w:p>
    <w:p>
      <w:pPr>
        <w:ind w:firstLine="480"/>
        <w:jc w:val="left"/>
        <w:spacing w:line="360" w:lineRule="auto"/>
        <w:rPr>
          <w:rFonts w:hint="eastAsia" w:ascii="宋体" w:hAnsi="宋体" w:cs="宋体"/>
          <w:color w:val="333333"/>
          <w:sz w:val="24"/>
          <w:highlight w:val="none"/>
        </w:rPr>
      </w:pPr>
      <w:r>
        <w:rPr>
          <w:rFonts w:hint="eastAsia" w:ascii="宋体" w:hAnsi="宋体" w:cs="宋体"/>
          <w:color w:val="333333"/>
          <w:sz w:val="24"/>
          <w:highlight w:val="none"/>
        </w:rPr>
        <w:t xml:space="preserve">2、采购代理机构信息</w:t>
      </w:r>
      <w:r/>
    </w:p>
    <w:p>
      <w:pPr>
        <w:ind w:firstLine="480"/>
        <w:jc w:val="left"/>
        <w:spacing w:line="360" w:lineRule="auto"/>
        <w:rPr>
          <w:rFonts w:hint="eastAsia" w:ascii="宋体" w:hAnsi="宋体" w:cs="宋体"/>
          <w:color w:val="333333"/>
          <w:sz w:val="24"/>
          <w:highlight w:val="none"/>
        </w:rPr>
      </w:pPr>
      <w:r>
        <w:rPr>
          <w:rFonts w:hint="eastAsia" w:ascii="宋体" w:hAnsi="宋体" w:cs="宋体"/>
          <w:color w:val="333333"/>
          <w:sz w:val="24"/>
          <w:highlight w:val="none"/>
        </w:rPr>
        <w:t xml:space="preserve">名    称：南通万隆工程管理有限公司</w:t>
      </w:r>
      <w:r/>
    </w:p>
    <w:p>
      <w:pPr>
        <w:ind w:firstLine="480"/>
        <w:jc w:val="left"/>
        <w:spacing w:line="360" w:lineRule="auto"/>
        <w:rPr>
          <w:rFonts w:hint="eastAsia" w:ascii="宋体" w:hAnsi="宋体" w:cs="宋体"/>
          <w:color w:val="333333"/>
          <w:sz w:val="24"/>
          <w:highlight w:val="none"/>
        </w:rPr>
      </w:pPr>
      <w:r>
        <w:rPr>
          <w:rFonts w:hint="eastAsia" w:ascii="宋体" w:hAnsi="宋体" w:cs="宋体"/>
          <w:color w:val="333333"/>
          <w:sz w:val="24"/>
          <w:highlight w:val="none"/>
        </w:rPr>
        <w:t xml:space="preserve">地    址：南通市崇川路58号南通产业技术研究院9号楼24层</w:t>
      </w:r>
      <w:r/>
    </w:p>
    <w:p>
      <w:pPr>
        <w:ind w:firstLine="480"/>
        <w:jc w:val="left"/>
        <w:spacing w:line="360" w:lineRule="auto"/>
        <w:rPr>
          <w:rFonts w:hint="eastAsia" w:ascii="宋体" w:hAnsi="宋体" w:cs="宋体"/>
          <w:color w:val="333333"/>
          <w:sz w:val="24"/>
          <w:highlight w:val="none"/>
        </w:rPr>
      </w:pPr>
      <w:r>
        <w:rPr>
          <w:rFonts w:hint="eastAsia" w:ascii="宋体" w:hAnsi="宋体" w:cs="宋体"/>
          <w:color w:val="333333"/>
          <w:sz w:val="24"/>
          <w:highlight w:val="none"/>
        </w:rPr>
        <w:t xml:space="preserve">联系方式：陈娟</w:t>
      </w:r>
      <w:r>
        <w:rPr>
          <w:rFonts w:hint="eastAsia" w:ascii="宋体" w:hAnsi="宋体" w:cs="宋体"/>
          <w:color w:val="333333"/>
          <w:sz w:val="24"/>
          <w:highlight w:val="none"/>
          <w:lang w:eastAsia="zh-CN"/>
        </w:rPr>
        <w:t xml:space="preserve">、杜赟、张轶男</w:t>
      </w:r>
      <w:r>
        <w:rPr>
          <w:rFonts w:hint="eastAsia" w:ascii="宋体" w:hAnsi="宋体" w:cs="宋体"/>
          <w:color w:val="333333"/>
          <w:sz w:val="24"/>
          <w:highlight w:val="none"/>
          <w:lang w:val="en-US" w:eastAsia="zh-CN"/>
        </w:rPr>
        <w:t xml:space="preserve">   </w:t>
      </w:r>
      <w:r>
        <w:rPr>
          <w:rFonts w:hint="eastAsia" w:ascii="宋体" w:hAnsi="宋体" w:cs="宋体"/>
          <w:color w:val="333333"/>
          <w:sz w:val="24"/>
          <w:highlight w:val="none"/>
        </w:rPr>
        <w:t xml:space="preserve">     13962943497</w:t>
      </w:r>
      <w:r/>
    </w:p>
    <w:p>
      <w:pPr>
        <w:pStyle w:val="701"/>
        <w:ind w:left="0" w:firstLine="480"/>
        <w:spacing w:after="0" w:line="360" w:lineRule="auto"/>
        <w:rPr>
          <w:highlight w:val="none"/>
        </w:rPr>
      </w:pPr>
      <w:r>
        <w:rPr>
          <w:rFonts w:ascii="宋体" w:hAnsi="宋体" w:cs="宋体"/>
          <w:sz w:val="24"/>
          <w:highlight w:val="none"/>
        </w:rPr>
        <w:t xml:space="preserve">3、软件技术支持：0519-86722801</w:t>
      </w:r>
      <w:r/>
    </w:p>
    <w:p>
      <w:pPr>
        <w:ind w:firstLine="480"/>
        <w:jc w:val="left"/>
        <w:spacing w:line="336" w:lineRule="auto"/>
        <w:rPr>
          <w:rFonts w:hint="eastAsia" w:ascii="宋体" w:hAnsi="宋体" w:cs="宋体"/>
          <w:sz w:val="24"/>
          <w:highlight w:val="none"/>
        </w:rPr>
      </w:pPr>
      <w:r>
        <w:rPr>
          <w:rFonts w:hint="eastAsia" w:ascii="宋体" w:hAnsi="宋体" w:cs="宋体"/>
          <w:sz w:val="24"/>
          <w:highlight w:val="none"/>
        </w:rPr>
      </w:r>
      <w:r/>
    </w:p>
    <w:p>
      <w:pPr>
        <w:pStyle w:val="688"/>
        <w:rPr>
          <w:rFonts w:hint="eastAsia" w:ascii="宋体" w:hAnsi="宋体" w:cs="宋体"/>
          <w:sz w:val="24"/>
          <w:highlight w:val="none"/>
        </w:rPr>
      </w:pPr>
      <w:r>
        <w:rPr>
          <w:rFonts w:hint="eastAsia" w:ascii="宋体" w:hAnsi="宋体" w:cs="宋体"/>
          <w:sz w:val="24"/>
          <w:highlight w:val="none"/>
        </w:rPr>
      </w:r>
      <w:r/>
    </w:p>
    <w:p>
      <w:pPr>
        <w:pStyle w:val="688"/>
        <w:rPr>
          <w:rFonts w:hint="eastAsia" w:ascii="宋体" w:hAnsi="宋体" w:cs="宋体"/>
          <w:sz w:val="24"/>
          <w:highlight w:val="none"/>
        </w:rPr>
      </w:pPr>
      <w:r>
        <w:rPr>
          <w:rFonts w:hint="eastAsia" w:ascii="宋体" w:hAnsi="宋体" w:cs="宋体"/>
          <w:sz w:val="24"/>
          <w:highlight w:val="none"/>
        </w:rPr>
      </w:r>
      <w:r/>
    </w:p>
    <w:p>
      <w:pPr>
        <w:jc w:val="left"/>
        <w:spacing w:line="240" w:lineRule="auto"/>
        <w:rPr>
          <w:rFonts w:hint="eastAsia" w:ascii="宋体" w:hAnsi="宋体" w:cs="宋体"/>
          <w:sz w:val="24"/>
          <w:highlight w:val="none"/>
        </w:rPr>
      </w:pPr>
      <w:r>
        <w:rPr>
          <w:rFonts w:hint="eastAsia" w:ascii="宋体" w:hAnsi="宋体" w:cs="宋体"/>
          <w:sz w:val="24"/>
          <w:highlight w:val="none"/>
        </w:rPr>
        <w:t xml:space="preserve">附件：1.竞争性磋商文件</w:t>
      </w:r>
      <w:r/>
    </w:p>
    <w:p>
      <w:pPr>
        <w:pStyle w:val="666"/>
        <w:ind w:firstLine="720"/>
        <w:keepLines w:val="0"/>
        <w:keepNext w:val="0"/>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2.采购人信用承诺书</w:t>
      </w:r>
      <w:r/>
    </w:p>
    <w:p>
      <w:pPr>
        <w:pStyle w:val="666"/>
        <w:ind w:firstLine="720"/>
        <w:keepLines w:val="0"/>
        <w:keepNext w:val="0"/>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3.公平竞争审查二维码</w:t>
      </w:r>
      <w:r/>
    </w:p>
    <w:p>
      <w:pPr>
        <w:pStyle w:val="666"/>
        <w:ind w:firstLine="720"/>
        <w:keepLines w:val="0"/>
        <w:keepNext w:val="0"/>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4.“苏采云”系统供应商操作手册</w:t>
      </w:r>
      <w:r/>
    </w:p>
    <w:p>
      <w:pPr>
        <w:pStyle w:val="666"/>
        <w:ind w:firstLine="720"/>
        <w:keepLines w:val="0"/>
        <w:keepNext w:val="0"/>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5.工程量清单\施工图纸,百度云盘提取</w:t>
      </w:r>
      <w:r/>
    </w:p>
    <w:p>
      <w:pPr>
        <w:pStyle w:val="666"/>
        <w:ind w:firstLine="720"/>
        <w:keepLines w:val="0"/>
        <w:keepNext w:val="0"/>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6.办理政采贷和履约保函（保险）告知函</w:t>
      </w:r>
      <w:r/>
    </w:p>
    <w:p>
      <w:pPr>
        <w:pStyle w:val="666"/>
        <w:jc w:val="center"/>
        <w:keepLines w:val="0"/>
        <w:keepNext w:val="0"/>
        <w:spacing w:before="0" w:after="0" w:line="360" w:lineRule="auto"/>
        <w:rPr>
          <w:rFonts w:hint="eastAsia" w:ascii="宋体" w:hAnsi="宋体" w:eastAsia="宋体" w:cs="宋体"/>
          <w:b/>
          <w:bCs/>
          <w:color w:val="000000"/>
          <w:sz w:val="36"/>
          <w:szCs w:val="36"/>
          <w:highlight w:val="none"/>
          <w:lang w:val="zh-CN"/>
        </w:rPr>
      </w:pPr>
      <w:r>
        <w:rPr>
          <w:rFonts w:hint="eastAsia" w:ascii="宋体" w:hAnsi="宋体" w:cs="宋体"/>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t xml:space="preserve">第二部分 磋商须知</w:t>
      </w:r>
      <w:bookmarkStart w:id="0" w:name="_Toc20823275"/>
      <w:r/>
      <w:bookmarkStart w:id="1" w:name="_Toc16938519"/>
      <w:r/>
      <w:bookmarkStart w:id="2" w:name="_Toc513029203"/>
      <w:r/>
      <w:bookmarkStart w:id="3" w:name="_Toc120614214"/>
      <w:r/>
      <w:r/>
    </w:p>
    <w:p>
      <w:pPr>
        <w:pStyle w:val="666"/>
        <w:jc w:val="center"/>
        <w:keepLines w:val="0"/>
        <w:keepNext w:val="0"/>
        <w:spacing w:before="0" w:after="0"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（一）总则</w:t>
      </w:r>
      <w:bookmarkEnd w:id="0"/>
      <w:r/>
      <w:bookmarkEnd w:id="1"/>
      <w:r/>
      <w:bookmarkEnd w:id="2"/>
      <w:r/>
      <w:bookmarkEnd w:id="3"/>
      <w:r/>
      <w:r/>
    </w:p>
    <w:p>
      <w:pPr>
        <w:ind w:firstLine="562"/>
        <w:spacing w:line="360" w:lineRule="auto"/>
        <w:rPr>
          <w:rFonts w:hint="eastAsia" w:ascii="宋体" w:hAnsi="宋体" w:cs="宋体"/>
          <w:color w:val="000000"/>
          <w:sz w:val="24"/>
          <w:highlight w:val="none"/>
        </w:rPr>
        <w:outlineLvl w:val="2"/>
      </w:pPr>
      <w:r/>
      <w:bookmarkStart w:id="4" w:name="_Hlt16619475"/>
      <w:r/>
      <w:bookmarkEnd w:id="4"/>
      <w:r/>
      <w:bookmarkStart w:id="5" w:name="_Toc16938525"/>
      <w:r/>
      <w:bookmarkStart w:id="6" w:name="_Toc20823281"/>
      <w:r/>
      <w:bookmarkStart w:id="7" w:name="_Toc120614215"/>
      <w:r/>
      <w:bookmarkStart w:id="8" w:name="_Toc513029209"/>
      <w:r>
        <w:rPr>
          <w:rFonts w:hint="eastAsia" w:ascii="宋体" w:hAnsi="宋体" w:cs="宋体"/>
          <w:color w:val="000000"/>
          <w:sz w:val="24"/>
          <w:highlight w:val="none"/>
        </w:rPr>
        <w:t xml:space="preserve">1、采购方式</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1.1 本次采取竞争性磋商方式，本磋商文件仅适用于采购邀请中所述项目。</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2、合格的供应商</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2.1满足采购邀请中供应商的资格要求的规定。</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2.2 满足本文件实质性条款的规定。</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2.3 本项目联合体响应的，应遵守以下规定(本项目不适用)：</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（1）联合体所有成员数量不得超过2家；</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（2）联合体各方应按招标文件提供的格式签订联合体协议书，明确联合体牵头人和各方权利义务；</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（3）联合体各成员单位应当具备与联合体协议中约定的分工相适应的施工资质和施工能力； </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（4）联合体各方不得再以自己名义单独或参加其他联合体在同一标段中投标；</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（5）联合体各方必须指定牵头人，授权其代表所有联合体成员负责投标和合同实施阶段的主办、协调工作，并应当向采购人提交由所有联合体成员法定代表人签署的授权书；</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（6）招标人要求投标人提交投标保证担保的，应当以联合体各方或者联合体中牵头人的名义提交投标保证担保。以联合体中牵头人名义提交的投标保证担保，对联合体各成员具有约束力。</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3、适用法律</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3.1 本次采购及由此产生的合同受中华人民共和国有关的法律法规制约和保护。</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4、磋商费用</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4.1 供应商应自行承担所有与参加磋商有关的费用，无论磋商过程中的做法和结果如何，采购单位和采购代理机构在任何情况下均无义务和责任承担这些费用。</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4.2 本项目采购代理费</w:t>
      </w:r>
      <w:r>
        <w:rPr>
          <w:rFonts w:hint="eastAsia" w:ascii="宋体" w:hAnsi="宋体" w:cs="宋体"/>
          <w:color w:val="000000"/>
          <w:sz w:val="24"/>
          <w:highlight w:val="none"/>
          <w:lang w:val="en-US" w:eastAsia="zh-CN"/>
        </w:rPr>
        <w:t xml:space="preserve">1200.00元</w:t>
      </w:r>
      <w:r>
        <w:rPr>
          <w:rFonts w:hint="eastAsia" w:ascii="宋体" w:hAnsi="宋体" w:cs="宋体"/>
          <w:color w:val="000000"/>
          <w:sz w:val="24"/>
          <w:highlight w:val="none"/>
        </w:rPr>
        <w:t xml:space="preserve">由成交供应商承担，请参加磋商的供应商在成本中自行考虑。上述费用由成交供应商在领取成交通知书前向采购代理机构一次性付清。</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5、磋商文件的约束力</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5.1 供应商一旦参加本项目采购活动，即被认为接受了本磋商文件的规定和约束。</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6、磋商文件的解释</w:t>
      </w:r>
      <w:r/>
    </w:p>
    <w:p>
      <w:pPr>
        <w:ind w:firstLine="562"/>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6.1磋商文件需求部分（供应商资格要求、项目需求、商务技术评分标准）由采购单位解释，其它部分由采购代理机构解释。</w:t>
      </w:r>
      <w:r/>
    </w:p>
    <w:p>
      <w:pPr>
        <w:ind w:firstLine="562"/>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（二）磋商文件</w:t>
      </w:r>
      <w:bookmarkEnd w:id="5"/>
      <w:r/>
      <w:bookmarkEnd w:id="6"/>
      <w:r/>
      <w:bookmarkEnd w:id="7"/>
      <w:r/>
      <w:bookmarkEnd w:id="8"/>
      <w:r/>
      <w:r/>
    </w:p>
    <w:p>
      <w:pPr>
        <w:ind w:firstLine="560"/>
        <w:spacing w:line="360" w:lineRule="auto"/>
        <w:rPr>
          <w:rFonts w:hint="eastAsia" w:ascii="宋体" w:hAnsi="宋体" w:cs="宋体"/>
          <w:b/>
          <w:bCs/>
          <w:color w:val="000000"/>
          <w:sz w:val="24"/>
          <w:highlight w:val="none"/>
        </w:rPr>
        <w:outlineLvl w:val="3"/>
      </w:pPr>
      <w:r/>
      <w:bookmarkStart w:id="9" w:name="_Toc20823282"/>
      <w:r/>
      <w:bookmarkStart w:id="10" w:name="_Toc16938526"/>
      <w:r/>
      <w:bookmarkStart w:id="11" w:name="_Toc513029210"/>
      <w:r>
        <w:rPr>
          <w:rFonts w:hint="eastAsia" w:ascii="宋体" w:hAnsi="宋体" w:cs="宋体"/>
          <w:color w:val="000000"/>
          <w:sz w:val="24"/>
          <w:highlight w:val="none"/>
        </w:rPr>
        <w:t xml:space="preserve">1.磋商文件构成</w:t>
      </w:r>
      <w:bookmarkEnd w:id="9"/>
      <w:r/>
      <w:bookmarkEnd w:id="10"/>
      <w:r/>
      <w:bookmarkEnd w:id="11"/>
      <w:r/>
      <w:r/>
    </w:p>
    <w:p>
      <w:pPr>
        <w:ind w:firstLine="56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1.1</w:t>
      </w:r>
      <w:r>
        <w:rPr>
          <w:rFonts w:hint="eastAsia" w:ascii="宋体" w:hAnsi="宋体" w:cs="宋体"/>
          <w:color w:val="000000"/>
          <w:sz w:val="24"/>
          <w:highlight w:val="none"/>
        </w:rPr>
        <w:t xml:space="preserve">磋商文件由以下部分组成：</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（1）采购邀请</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（2）磋商须知</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（3）项目需求</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（4）评审方法和评审标准</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（5）合同条款</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（6）响应文件组成</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（7）工程量清单</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（8）图纸</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（9）附件</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请仔细检查磋商文件是否齐全，如有缺漏请立即与采购代理机构联系解决。</w:t>
      </w:r>
      <w:r/>
    </w:p>
    <w:p>
      <w:pPr>
        <w:ind w:firstLine="56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1.2</w:t>
      </w:r>
      <w:r>
        <w:rPr>
          <w:rFonts w:hint="eastAsia" w:ascii="宋体" w:hAnsi="宋体" w:cs="宋体"/>
          <w:color w:val="000000"/>
          <w:sz w:val="24"/>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spacing w:line="360" w:lineRule="auto"/>
        <w:rPr>
          <w:rFonts w:hint="eastAsia" w:ascii="宋体" w:hAnsi="宋体" w:cs="宋体"/>
          <w:b/>
          <w:bCs/>
          <w:color w:val="000000"/>
          <w:sz w:val="24"/>
          <w:highlight w:val="none"/>
        </w:rPr>
        <w:outlineLvl w:val="3"/>
      </w:pPr>
      <w:r/>
      <w:bookmarkStart w:id="12" w:name="_Toc462564070"/>
      <w:r/>
      <w:bookmarkStart w:id="13" w:name="_Toc513029211"/>
      <w:r/>
      <w:bookmarkStart w:id="14" w:name="_Toc16938527"/>
      <w:r/>
      <w:bookmarkStart w:id="15" w:name="_Toc20823283"/>
      <w:r>
        <w:rPr>
          <w:rFonts w:hint="eastAsia" w:ascii="宋体" w:hAnsi="宋体" w:cs="宋体"/>
          <w:color w:val="000000"/>
          <w:sz w:val="24"/>
          <w:highlight w:val="none"/>
        </w:rPr>
        <w:t xml:space="preserve">2.磋商文件的澄清</w:t>
      </w:r>
      <w:bookmarkEnd w:id="12"/>
      <w:r/>
      <w:bookmarkEnd w:id="13"/>
      <w:r/>
      <w:bookmarkEnd w:id="14"/>
      <w:r/>
      <w:bookmarkEnd w:id="15"/>
      <w:r/>
      <w:r/>
    </w:p>
    <w:p>
      <w:pPr>
        <w:ind w:firstLine="56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2.1</w:t>
      </w:r>
      <w:r>
        <w:rPr>
          <w:rFonts w:hint="eastAsia" w:ascii="宋体" w:hAnsi="宋体" w:cs="宋体"/>
          <w:color w:val="000000"/>
          <w:sz w:val="24"/>
          <w:highlight w:val="none"/>
        </w:rPr>
        <w:t xml:space="preserve"> 任何要求对磋商文件进行澄清的供应商，应在提交首次响应文件截止时间五日前按磋商公告中的通讯地址，以书面形式通知采购单位。采购单位有权对发出的磋商文件进行必要的澄清或修改。</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2.2采购单位不组织答疑会。</w:t>
      </w:r>
      <w:r/>
    </w:p>
    <w:p>
      <w:pPr>
        <w:ind w:firstLine="560"/>
        <w:spacing w:line="360" w:lineRule="auto"/>
        <w:rPr>
          <w:rFonts w:hint="eastAsia" w:ascii="宋体" w:hAnsi="宋体" w:cs="宋体"/>
          <w:b/>
          <w:bCs/>
          <w:color w:val="000000"/>
          <w:sz w:val="24"/>
          <w:highlight w:val="none"/>
        </w:rPr>
        <w:outlineLvl w:val="3"/>
      </w:pPr>
      <w:r/>
      <w:bookmarkStart w:id="16" w:name="_Toc462564071"/>
      <w:r/>
      <w:bookmarkStart w:id="17" w:name="_Toc513029212"/>
      <w:r/>
      <w:bookmarkStart w:id="18" w:name="_Toc16938528"/>
      <w:r/>
      <w:bookmarkStart w:id="19" w:name="_Toc20823284"/>
      <w:r>
        <w:rPr>
          <w:rFonts w:hint="eastAsia" w:ascii="宋体" w:hAnsi="宋体" w:cs="宋体"/>
          <w:color w:val="000000"/>
          <w:sz w:val="24"/>
          <w:highlight w:val="none"/>
        </w:rPr>
        <w:t xml:space="preserve">3.磋商文件的修改</w:t>
      </w:r>
      <w:bookmarkEnd w:id="16"/>
      <w:r/>
      <w:bookmarkEnd w:id="17"/>
      <w:r/>
      <w:bookmarkEnd w:id="18"/>
      <w:r/>
      <w:bookmarkEnd w:id="19"/>
      <w:r/>
      <w:r/>
    </w:p>
    <w:p>
      <w:pPr>
        <w:ind w:firstLine="56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 在磋商响应文件提交截止时间前，</w:t>
      </w:r>
      <w:r>
        <w:rPr>
          <w:rFonts w:hint="eastAsia" w:ascii="宋体" w:hAnsi="宋体" w:cs="宋体"/>
          <w:sz w:val="24"/>
          <w:highlight w:val="none"/>
        </w:rPr>
        <w:t xml:space="preserve">采购单位或采购代理机构</w:t>
      </w:r>
      <w:r>
        <w:rPr>
          <w:rFonts w:hint="eastAsia" w:ascii="宋体" w:hAnsi="宋体" w:cs="宋体"/>
          <w:color w:val="000000"/>
          <w:sz w:val="24"/>
          <w:highlight w:val="none"/>
        </w:rPr>
        <w:t xml:space="preserve">可以对磋商文件进行修改</w:t>
      </w:r>
      <w:r>
        <w:rPr>
          <w:rFonts w:ascii="宋体" w:hAnsi="宋体" w:cs="宋体"/>
          <w:sz w:val="24"/>
          <w:highlight w:val="none"/>
        </w:rPr>
        <w:t xml:space="preserve">, 澄清或者修改的内容作为磋商文件的组成部分</w:t>
      </w:r>
      <w:r>
        <w:rPr>
          <w:rFonts w:hint="eastAsia" w:ascii="宋体" w:hAnsi="宋体" w:cs="宋体"/>
          <w:color w:val="000000"/>
          <w:sz w:val="24"/>
          <w:highlight w:val="none"/>
        </w:rPr>
        <w:t xml:space="preserve">。</w:t>
      </w:r>
      <w:r/>
    </w:p>
    <w:p>
      <w:pPr>
        <w:ind w:firstLine="56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3.2 </w:t>
      </w:r>
      <w:r>
        <w:rPr>
          <w:rFonts w:hint="eastAsia" w:ascii="宋体" w:hAnsi="宋体" w:cs="宋体"/>
          <w:color w:val="000000"/>
          <w:sz w:val="24"/>
          <w:highlight w:val="none"/>
        </w:rPr>
        <w:t xml:space="preserve">采购单位有权按照法定的要求推迟响应文件提交截止日期和磋商日期。</w:t>
      </w:r>
      <w:r/>
    </w:p>
    <w:p>
      <w:pPr>
        <w:ind w:firstLine="56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3.3 </w:t>
      </w:r>
      <w:r>
        <w:rPr>
          <w:rFonts w:hint="eastAsia" w:ascii="宋体" w:hAnsi="宋体" w:cs="宋体"/>
          <w:color w:val="000000"/>
          <w:sz w:val="24"/>
          <w:highlight w:val="none"/>
        </w:rPr>
        <w:t xml:space="preserve">磋商文件的修改将在江苏省政府采购网公布，补充文件将作为磋商文件的组成部分，并对供应商具有约束力。</w:t>
      </w:r>
      <w:bookmarkStart w:id="20" w:name="_Toc120614216"/>
      <w:r/>
      <w:bookmarkStart w:id="21" w:name="_Toc20823285"/>
      <w:r/>
      <w:bookmarkStart w:id="22" w:name="_Toc16938529"/>
      <w:r/>
      <w:bookmarkStart w:id="23" w:name="_Toc513029213"/>
      <w:r/>
      <w:bookmarkStart w:id="24" w:name="_Toc462564072"/>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w:t>
      </w:r>
      <w:r>
        <w:rPr>
          <w:rFonts w:ascii="宋体" w:hAnsi="宋体" w:cs="宋体"/>
          <w:b/>
          <w:sz w:val="24"/>
          <w:highlight w:val="none"/>
        </w:rPr>
        <w:t xml:space="preserve">磋商项目涉及到的现场勘察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2、采购单位向供应商提供的有关现场的资料和数据，是采购单位现有的并认为能使供应商可利用的资料。采购单位对供应商由此而做出的推论、理解和结论概不负责。</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3、经采购单位允许，供应商可为勘察目的进入采购单位的项目现场，但供应商不得因此使采购单位承担有关的责任和蒙受损失。供应商应承担勘察现场的责任和风险。</w:t>
      </w:r>
      <w:r/>
    </w:p>
    <w:p>
      <w:pPr>
        <w:ind w:firstLine="562"/>
        <w:spacing w:line="360" w:lineRule="auto"/>
        <w:widowControl/>
        <w:rPr>
          <w:highlight w:val="none"/>
        </w:rPr>
      </w:pPr>
      <w:r>
        <w:rPr>
          <w:rFonts w:ascii="宋体" w:hAnsi="宋体" w:cs="宋体"/>
          <w:sz w:val="24"/>
          <w:highlight w:val="none"/>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firstLine="562"/>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（四）响应文件的编制</w:t>
      </w:r>
      <w:bookmarkEnd w:id="20"/>
      <w:r/>
      <w:bookmarkEnd w:id="21"/>
      <w:r/>
      <w:bookmarkEnd w:id="22"/>
      <w:r/>
      <w:bookmarkEnd w:id="23"/>
      <w:r/>
      <w:bookmarkEnd w:id="24"/>
      <w:r/>
      <w:r/>
    </w:p>
    <w:p>
      <w:pPr>
        <w:ind w:firstLine="560"/>
        <w:spacing w:line="360" w:lineRule="auto"/>
        <w:rPr>
          <w:rFonts w:hint="eastAsia" w:ascii="宋体" w:hAnsi="宋体" w:cs="宋体"/>
          <w:bCs/>
          <w:color w:val="000000"/>
          <w:sz w:val="24"/>
          <w:highlight w:val="none"/>
        </w:rPr>
        <w:outlineLvl w:val="3"/>
      </w:pPr>
      <w:r/>
      <w:bookmarkStart w:id="25" w:name="_Toc513029214"/>
      <w:r/>
      <w:bookmarkStart w:id="26" w:name="_Toc20823286"/>
      <w:r/>
      <w:bookmarkStart w:id="27" w:name="_Toc16938530"/>
      <w:r/>
      <w:bookmarkStart w:id="28" w:name="_Toc462564073"/>
      <w:r>
        <w:rPr>
          <w:rFonts w:hint="eastAsia" w:ascii="宋体" w:hAnsi="宋体" w:cs="宋体"/>
          <w:color w:val="000000"/>
          <w:sz w:val="24"/>
          <w:highlight w:val="none"/>
        </w:rPr>
        <w:t xml:space="preserve">1.响应文件的语言及度量衡单位</w:t>
      </w:r>
      <w:bookmarkEnd w:id="25"/>
      <w:r/>
      <w:bookmarkEnd w:id="26"/>
      <w:r/>
      <w:bookmarkEnd w:id="27"/>
      <w:r/>
      <w:bookmarkEnd w:id="28"/>
      <w:r/>
      <w:r/>
    </w:p>
    <w:p>
      <w:pPr>
        <w:ind w:firstLine="56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1.1</w:t>
      </w:r>
      <w:r>
        <w:rPr>
          <w:rFonts w:hint="eastAsia" w:ascii="宋体" w:hAnsi="宋体" w:cs="宋体"/>
          <w:color w:val="000000"/>
          <w:sz w:val="24"/>
          <w:highlight w:val="none"/>
        </w:rPr>
        <w:t xml:space="preserve">供应商提交的响应文件以及供应商与采购代理机构及采购单位就有关磋商的所有来往通知、函件和文件均应使用</w:t>
      </w:r>
      <w:r>
        <w:rPr>
          <w:rFonts w:hint="eastAsia" w:ascii="宋体" w:hAnsi="宋体" w:cs="宋体"/>
          <w:bCs/>
          <w:color w:val="000000"/>
          <w:sz w:val="24"/>
          <w:highlight w:val="none"/>
        </w:rPr>
        <w:t xml:space="preserve">简体中文</w:t>
      </w:r>
      <w:r>
        <w:rPr>
          <w:rFonts w:hint="eastAsia" w:ascii="宋体" w:hAnsi="宋体" w:cs="宋体"/>
          <w:color w:val="000000"/>
          <w:sz w:val="24"/>
          <w:highlight w:val="none"/>
        </w:rPr>
        <w:t xml:space="preserve">。</w:t>
      </w:r>
      <w:r/>
    </w:p>
    <w:p>
      <w:pPr>
        <w:ind w:firstLine="56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1.2</w:t>
      </w:r>
      <w:r>
        <w:rPr>
          <w:rFonts w:hint="eastAsia" w:ascii="宋体" w:hAnsi="宋体" w:cs="宋体"/>
          <w:color w:val="000000"/>
          <w:sz w:val="24"/>
          <w:highlight w:val="none"/>
        </w:rPr>
        <w:t xml:space="preserve"> 除技术性能另有规定外，响应文件所使用的度量衡单位，均须采用国家法定计量单位。</w:t>
      </w:r>
      <w:r/>
    </w:p>
    <w:p>
      <w:pPr>
        <w:ind w:firstLine="560"/>
        <w:spacing w:line="360" w:lineRule="auto"/>
        <w:rPr>
          <w:rFonts w:hint="eastAsia" w:ascii="宋体" w:hAnsi="宋体" w:cs="宋体"/>
          <w:b/>
          <w:bCs/>
          <w:color w:val="000000"/>
          <w:sz w:val="24"/>
          <w:highlight w:val="none"/>
        </w:rPr>
        <w:outlineLvl w:val="3"/>
      </w:pPr>
      <w:r/>
      <w:bookmarkStart w:id="29" w:name="_Toc16938531"/>
      <w:r/>
      <w:bookmarkStart w:id="30" w:name="_Toc20823287"/>
      <w:r/>
      <w:bookmarkStart w:id="31" w:name="_Toc462564074"/>
      <w:r/>
      <w:bookmarkStart w:id="32" w:name="_Toc513029215"/>
      <w:r>
        <w:rPr>
          <w:rFonts w:hint="eastAsia" w:ascii="宋体" w:hAnsi="宋体" w:cs="宋体"/>
          <w:color w:val="000000"/>
          <w:sz w:val="24"/>
          <w:highlight w:val="none"/>
        </w:rPr>
        <w:t xml:space="preserve">2.响应文件构成</w:t>
      </w:r>
      <w:bookmarkEnd w:id="29"/>
      <w:r/>
      <w:bookmarkEnd w:id="30"/>
      <w:r/>
      <w:bookmarkEnd w:id="31"/>
      <w:r/>
      <w:bookmarkEnd w:id="32"/>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供应商编写的响应文件应包括资格审查文件、商务技术响应文件、价格响应文件。供应商按“第六部分 响应文件组成”要求编写响应文件。</w:t>
      </w:r>
      <w:r/>
    </w:p>
    <w:p>
      <w:pPr>
        <w:ind w:firstLine="560"/>
        <w:spacing w:line="360" w:lineRule="auto"/>
        <w:rPr>
          <w:rFonts w:hint="eastAsia" w:ascii="宋体" w:hAnsi="宋体" w:cs="宋体"/>
          <w:b/>
          <w:bCs/>
          <w:color w:val="000000"/>
          <w:sz w:val="24"/>
          <w:highlight w:val="none"/>
        </w:rPr>
        <w:outlineLvl w:val="3"/>
      </w:pPr>
      <w:r/>
      <w:bookmarkStart w:id="33" w:name="_Hlt26668975"/>
      <w:r/>
      <w:bookmarkEnd w:id="33"/>
      <w:r/>
      <w:bookmarkStart w:id="34" w:name="_Hlt26670360"/>
      <w:r/>
      <w:bookmarkEnd w:id="34"/>
      <w:r/>
      <w:bookmarkStart w:id="35" w:name="_Hlt26954838"/>
      <w:r/>
      <w:bookmarkEnd w:id="35"/>
      <w:r/>
      <w:bookmarkStart w:id="36" w:name="_Toc49090511"/>
      <w:r/>
      <w:bookmarkStart w:id="37" w:name="_Toc14577360"/>
      <w:r>
        <w:rPr>
          <w:rFonts w:hint="eastAsia" w:ascii="宋体" w:hAnsi="宋体" w:cs="宋体"/>
          <w:color w:val="000000"/>
          <w:sz w:val="24"/>
          <w:highlight w:val="none"/>
        </w:rPr>
        <w:t xml:space="preserve">3.</w:t>
      </w:r>
      <w:bookmarkEnd w:id="36"/>
      <w:r/>
      <w:bookmarkEnd w:id="37"/>
      <w:r>
        <w:rPr>
          <w:rFonts w:hint="eastAsia" w:ascii="宋体" w:hAnsi="宋体" w:cs="宋体"/>
          <w:color w:val="000000"/>
          <w:sz w:val="24"/>
          <w:highlight w:val="none"/>
        </w:rPr>
        <w:t xml:space="preserve">磋商响应有效期</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3.1磋商响应有效期为采购代理机构规定的响应文件</w:t>
      </w:r>
      <w:r>
        <w:rPr>
          <w:rFonts w:hint="eastAsia" w:ascii="宋体" w:hAnsi="宋体" w:cs="宋体"/>
          <w:color w:val="000000"/>
          <w:sz w:val="24"/>
          <w:highlight w:val="none"/>
        </w:rPr>
        <w:t xml:space="preserve">提交</w:t>
      </w:r>
      <w:r>
        <w:rPr>
          <w:rFonts w:hint="eastAsia" w:ascii="宋体" w:hAnsi="宋体" w:cs="宋体"/>
          <w:bCs/>
          <w:color w:val="000000"/>
          <w:sz w:val="24"/>
          <w:highlight w:val="none"/>
        </w:rPr>
        <w:t xml:space="preserve">截止时间后</w:t>
      </w:r>
      <w:r>
        <w:rPr>
          <w:rFonts w:hint="eastAsia" w:ascii="宋体" w:hAnsi="宋体" w:cs="宋体"/>
          <w:b/>
          <w:color w:val="000000"/>
          <w:sz w:val="24"/>
          <w:highlight w:val="none"/>
          <w:u w:val="single"/>
        </w:rPr>
        <w:t xml:space="preserve">六十（60）天</w:t>
      </w:r>
      <w:r>
        <w:rPr>
          <w:rFonts w:hint="eastAsia" w:ascii="宋体" w:hAnsi="宋体" w:cs="宋体"/>
          <w:bCs/>
          <w:color w:val="000000"/>
          <w:sz w:val="24"/>
          <w:highlight w:val="none"/>
        </w:rPr>
        <w:t xml:space="preserve">。磋商响应有效期比规定短的将被视为非实质性响应而予以拒绝。</w:t>
      </w:r>
      <w:r/>
    </w:p>
    <w:p>
      <w:pPr>
        <w:ind w:firstLine="560"/>
        <w:spacing w:line="360" w:lineRule="auto"/>
        <w:rPr>
          <w:rFonts w:hint="eastAsia" w:ascii="宋体" w:hAnsi="宋体" w:cs="宋体"/>
          <w:b/>
          <w:bCs/>
          <w:color w:val="000000"/>
          <w:sz w:val="24"/>
          <w:highlight w:val="none"/>
        </w:rPr>
        <w:outlineLvl w:val="3"/>
      </w:pPr>
      <w:r>
        <w:rPr>
          <w:rFonts w:hint="eastAsia" w:ascii="宋体" w:hAnsi="宋体" w:cs="宋体"/>
          <w:color w:val="000000"/>
          <w:sz w:val="24"/>
          <w:highlight w:val="none"/>
        </w:rPr>
        <w:t xml:space="preserve">4.磋商响应有效期的延长</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000000"/>
          <w:sz w:val="24"/>
          <w:highlight w:val="none"/>
        </w:rPr>
        <w:t xml:space="preserve">受磋商响应有效期约束的所有权利与义务均延长至新的有效期</w:t>
      </w:r>
      <w:r>
        <w:rPr>
          <w:rFonts w:hint="eastAsia" w:ascii="宋体" w:hAnsi="宋体" w:cs="宋体"/>
          <w:bCs/>
          <w:color w:val="000000"/>
          <w:sz w:val="24"/>
          <w:highlight w:val="none"/>
        </w:rPr>
        <w:t xml:space="preserve">。</w:t>
      </w:r>
      <w:r/>
    </w:p>
    <w:p>
      <w:pPr>
        <w:ind w:firstLine="560"/>
        <w:spacing w:line="360" w:lineRule="auto"/>
        <w:rPr>
          <w:rFonts w:hint="eastAsia" w:ascii="宋体" w:hAnsi="宋体" w:cs="宋体"/>
          <w:bCs/>
          <w:color w:val="000000"/>
          <w:sz w:val="24"/>
          <w:highlight w:val="none"/>
        </w:rPr>
      </w:pPr>
      <w:r/>
      <w:bookmarkStart w:id="38" w:name="_Hlt26954739"/>
      <w:r/>
      <w:bookmarkEnd w:id="38"/>
      <w:r/>
      <w:bookmarkStart w:id="39" w:name="_Hlt26954852"/>
      <w:r/>
      <w:bookmarkEnd w:id="39"/>
      <w:r/>
      <w:bookmarkStart w:id="40" w:name="_Toc513029224"/>
      <w:r/>
      <w:bookmarkStart w:id="41" w:name="_Toc120614217"/>
      <w:r/>
      <w:bookmarkStart w:id="42" w:name="_Toc16938540"/>
      <w:r/>
      <w:bookmarkStart w:id="43" w:name="_Toc20823296"/>
      <w:r>
        <w:rPr>
          <w:rFonts w:hint="eastAsia" w:ascii="宋体" w:hAnsi="宋体" w:cs="宋体"/>
          <w:bCs/>
          <w:color w:val="000000"/>
          <w:sz w:val="24"/>
          <w:highlight w:val="none"/>
        </w:rPr>
        <w:t xml:space="preserve">5.电子响应文件其他要求</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5.1电子招标投标交易平台（即“苏采云”系统）相关要求是本采购文件的组成部分。</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5.2供应商应对CA证书妥善保管，如被他人盗用投标，因此带来的结果均由供应商自行承担。</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5.3供应商应当对采购文件提出的实质性要求和条件作出实质性响应，并在电子投标系统逐条应答。</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5.4供应商应对要求提供的资格证明文件（如资质证书、资格证书）、技术资料（如白皮书、彩页、手册、检测报告等）扫描上传至投标系统。 </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5.5供应商应当在采购文件要求提交响应文件的截止时间前，将响应文件提交至“苏采云”系统，逾期提交的响应文件，“苏采云”系统将自动拒收。各供应商应在规定时间内凭CA证书进行网上解密。</w:t>
      </w:r>
      <w:r/>
    </w:p>
    <w:p>
      <w:pPr>
        <w:ind w:firstLine="56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（五）响应文件的</w:t>
      </w:r>
      <w:bookmarkEnd w:id="40"/>
      <w:r/>
      <w:bookmarkEnd w:id="41"/>
      <w:r/>
      <w:bookmarkEnd w:id="42"/>
      <w:r/>
      <w:bookmarkEnd w:id="43"/>
      <w:r>
        <w:rPr>
          <w:rFonts w:hint="eastAsia" w:ascii="宋体" w:hAnsi="宋体" w:cs="宋体"/>
          <w:b/>
          <w:bCs/>
          <w:color w:val="000000"/>
          <w:sz w:val="24"/>
          <w:highlight w:val="none"/>
        </w:rPr>
        <w:t xml:space="preserve">提交</w:t>
      </w:r>
      <w:r/>
    </w:p>
    <w:p>
      <w:pPr>
        <w:ind w:firstLine="560"/>
        <w:spacing w:line="360" w:lineRule="auto"/>
        <w:rPr>
          <w:rFonts w:hint="eastAsia" w:ascii="宋体" w:hAnsi="宋体" w:cs="宋体"/>
          <w:b/>
          <w:bCs/>
          <w:color w:val="000000"/>
          <w:sz w:val="24"/>
          <w:highlight w:val="none"/>
        </w:rPr>
        <w:outlineLvl w:val="3"/>
      </w:pPr>
      <w:r/>
      <w:bookmarkStart w:id="44" w:name="_Toc462564084"/>
      <w:r/>
      <w:bookmarkStart w:id="45" w:name="_Toc16938541"/>
      <w:r/>
      <w:bookmarkStart w:id="46" w:name="_Toc20823297"/>
      <w:r/>
      <w:bookmarkStart w:id="47" w:name="_Toc513029225"/>
      <w:r/>
      <w:bookmarkStart w:id="48" w:name="_Toc513029229"/>
      <w:r/>
      <w:bookmarkStart w:id="49" w:name="_Toc20823301"/>
      <w:r/>
      <w:bookmarkStart w:id="50" w:name="_Toc120614218"/>
      <w:r/>
      <w:bookmarkStart w:id="51" w:name="_Toc16938545"/>
      <w:r>
        <w:rPr>
          <w:rFonts w:hint="eastAsia" w:ascii="宋体" w:hAnsi="宋体" w:cs="宋体"/>
          <w:color w:val="000000"/>
          <w:sz w:val="24"/>
          <w:highlight w:val="none"/>
        </w:rPr>
        <w:t xml:space="preserve">1.响应文件</w:t>
      </w:r>
      <w:bookmarkEnd w:id="44"/>
      <w:r/>
      <w:bookmarkEnd w:id="45"/>
      <w:r/>
      <w:bookmarkEnd w:id="46"/>
      <w:r/>
      <w:bookmarkEnd w:id="47"/>
      <w:r>
        <w:rPr>
          <w:rFonts w:hint="eastAsia" w:ascii="宋体" w:hAnsi="宋体" w:cs="宋体"/>
          <w:color w:val="000000"/>
          <w:sz w:val="24"/>
          <w:highlight w:val="none"/>
        </w:rPr>
        <w:t xml:space="preserve">的提交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1.1线上提交与接收地点：供应商应当通过“苏采云”系统提交数据电文形式的响应文件（即电子投标），“苏采云”系统自动接收。</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电子响应文件应由其法定代表人或被授权人在规定的网上投标时间内，凭CA证书登录“苏采云”系统在线编制响应文件（电子数据），并在响应文件提交截止时间之前上传磋商响应文件。供应商应在达到开标（开启）时间后，使用CA数字证书解密各自磋商响应文件。</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2.提交响应文件截止日期</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2.1 供应商上传电子响应文件的时间不得迟于竞争性磋商公告中规定的响应文件提交截止时间。</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2.2 采购单位或采购代理机构可以按照规定，通过修改采购文件酌情延长响应文件提交截止日期，在此情况下，供应商的所有权利和义务以及供应商受制的截止日期均应以延长后新的截止日期为准。</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3.响应文件的密封（加密）要求：</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3.2供应商须通过“苏采云”系统提供的政府采购客户端工具（使用“CA数字证书”）加盖电子签章。</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说明：供应商应在用CA数字证书以及自备的能够登录“苏采云”系统的电脑，在达到开标时间后，使用CA数字证书解密各自响应文件。</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3.3供应商未按规定加密的响应文件，“苏采云”系统将拒收并提示。</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4.响应文件的拒收</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“苏采云”系统拒绝接收在规定的响应文件提交截止时间后上传的任何响应文件。</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 响应文件的撤回和修改</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 响应文件的撤回</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5.1.1 电子响应文件的撤回</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5.1.2 供应商撤回电子响应文件，则认为其不再参与本项目竞争性磋商活动。</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5.2 响应文件的修改</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5.3 在响应文件提交截止时间之后，供应商不得对其电子响应文件作任何修改。</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5.4 在响应文件提交截止时间至磋商文件中规定的磋商响应有效期满之间的这段时间内，供应商不得撤回其响应文件。</w:t>
      </w:r>
      <w:r/>
    </w:p>
    <w:p>
      <w:pPr>
        <w:ind w:firstLine="56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bookmarkEnd w:id="48"/>
      <w:r/>
      <w:bookmarkEnd w:id="49"/>
      <w:r/>
      <w:bookmarkEnd w:id="50"/>
      <w:r/>
      <w:bookmarkEnd w:id="51"/>
      <w:r/>
      <w:bookmarkStart w:id="52" w:name="_Toc513029230"/>
      <w:r/>
      <w:bookmarkStart w:id="53" w:name="_Toc16938546"/>
      <w:r/>
      <w:bookmarkStart w:id="54" w:name="_Toc20823302"/>
      <w:r>
        <w:rPr>
          <w:rFonts w:hint="eastAsia" w:ascii="宋体" w:hAnsi="宋体" w:cs="宋体"/>
          <w:b/>
          <w:bCs/>
          <w:color w:val="000000"/>
          <w:sz w:val="24"/>
          <w:highlight w:val="none"/>
        </w:rPr>
        <w:t xml:space="preserve">磋商与评审</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1.磋商仪式</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1.1采购代理机构将在磋商公告中规定的时间和地点组织磋商开始仪式。</w:t>
      </w:r>
      <w:r/>
    </w:p>
    <w:p>
      <w:pPr>
        <w:pStyle w:val="804"/>
        <w:spacing w:line="360" w:lineRule="auto"/>
        <w:rPr>
          <w:color w:val="000000"/>
          <w:sz w:val="24"/>
          <w:szCs w:val="24"/>
          <w:highlight w:val="none"/>
        </w:rPr>
      </w:pPr>
      <w:r>
        <w:rPr>
          <w:rFonts w:hint="eastAsia" w:ascii="宋体" w:hAnsi="宋体" w:eastAsia="宋体" w:cs="宋体"/>
          <w:b/>
          <w:color w:val="000000"/>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000000"/>
          <w:sz w:val="24"/>
          <w:szCs w:val="24"/>
          <w:highlight w:val="none"/>
          <w:u w:val="single"/>
        </w:rPr>
        <w:t xml:space="preserve">30分钟</w:t>
      </w:r>
      <w:r>
        <w:rPr>
          <w:rFonts w:hint="eastAsia" w:ascii="宋体" w:hAnsi="宋体" w:eastAsia="宋体" w:cs="宋体"/>
          <w:b/>
          <w:color w:val="000000"/>
          <w:sz w:val="24"/>
          <w:szCs w:val="24"/>
          <w:highlight w:val="none"/>
        </w:rPr>
        <w:t xml:space="preserve">之内完成。</w:t>
      </w:r>
      <w:r>
        <w:rPr>
          <w:rFonts w:hint="eastAsia" w:ascii="宋体" w:hAnsi="宋体" w:eastAsia="宋体" w:cs="宋体"/>
          <w:b/>
          <w:color w:val="000000"/>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000000"/>
          <w:sz w:val="24"/>
          <w:szCs w:val="24"/>
          <w:highlight w:val="none"/>
        </w:rPr>
        <w:t xml:space="preserve">因采购单位（或采购代理机构）原因或网上招投标平台发生故障，导致无法按时完成响应文件解密或开、评标工作无法进行的，可根据实际情况相应延迟解密时间或调整开、评标时间。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 磋商活动的文件解密工作由采购代理机构组织。</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各供应商请关注开标大厅交流区，在开标结束后，请勿离开开标大厅，采购单位或采购代理机构通知最后报价填报后，所有的响应供应商须在15分钟内填写并提交最后报价，未在规定时间内提交最后报价的，视作无效响应处理。</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2.竞争性磋商小组</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2.1磋商开始仪式结束后，采购代理机构将立即组织竞争性磋商小组进行评审。</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竞争性磋商小组由采购单位代表和评审专家共3人以上单数组成，其中评审专家人数不得少于竞争性磋商小组成员总数的2/3。采购单位不得以评审专家身份参加本部门或本单位采购项目的评审。代理机构人员不得参加本机构代理的采购项目的评审。</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2.3达到公开招标限额标准的货物或者服务采购项目，竞争性磋商小组应当由5人以上单数组成。</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2.5磋商小组独立工作，负责评审所有响应文件并确定成交候选人。</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磋商评审过程的保密与公正</w:t>
      </w:r>
      <w:r/>
    </w:p>
    <w:p>
      <w:pPr>
        <w:ind w:firstLine="56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3.1磋商小组、采购单位和采购代理机构工作人员、相关监督人员等与评审工作有关的人员，对评审情况以及在评审过程中获悉的国家秘密、商业秘密负有保密责任。</w:t>
      </w:r>
      <w:r/>
    </w:p>
    <w:p>
      <w:pPr>
        <w:ind w:firstLine="56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3.2在磋商评审过程中，磋商供应商不得以任何行为影响磋商评审过程，否则其响应文件将被作为无效响应处理。</w:t>
      </w:r>
      <w:r/>
    </w:p>
    <w:p>
      <w:pPr>
        <w:ind w:firstLine="56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360" w:lineRule="auto"/>
        <w:tabs>
          <w:tab w:val="left" w:pos="90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3.4</w:t>
      </w:r>
      <w:r>
        <w:rPr>
          <w:rFonts w:hint="eastAsia" w:ascii="宋体" w:hAnsi="宋体" w:cs="宋体"/>
          <w:bCs/>
          <w:color w:val="000000"/>
          <w:sz w:val="24"/>
          <w:highlight w:val="none"/>
        </w:rPr>
        <w:t xml:space="preserve">评审开始后，直至向成交供应商授予合同时止，凡是与审查、澄清、评价和比较响应的有关资料以及授标建议等，采购单位、磋商小组、采购代理机构均不得向供应商或与评审无关的其他人员透露。</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3.5在评审期间，采购代理机构将设专门人员与供应商联系。</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3.6</w:t>
      </w:r>
      <w:r>
        <w:rPr>
          <w:rFonts w:hint="eastAsia" w:ascii="宋体" w:hAnsi="宋体" w:cs="宋体"/>
          <w:sz w:val="24"/>
          <w:highlight w:val="none"/>
        </w:rPr>
        <w:t xml:space="preserve">采购单位、</w:t>
      </w:r>
      <w:r>
        <w:rPr>
          <w:rFonts w:hint="eastAsia" w:ascii="宋体" w:hAnsi="宋体" w:cs="宋体"/>
          <w:color w:val="000000"/>
          <w:sz w:val="24"/>
          <w:highlight w:val="none"/>
        </w:rPr>
        <w:t xml:space="preserve">采购代理机构和评审小组不向未成交的供应商解释未成交原因，也不公布评审过程中的相关细节。</w:t>
      </w:r>
      <w:r/>
    </w:p>
    <w:p>
      <w:pPr>
        <w:ind w:firstLine="56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3.7 采用综合评分法的项目，公布评标结果时一并公布所有供应商的评审得分及排序情况。</w:t>
      </w:r>
      <w:r/>
    </w:p>
    <w:p>
      <w:pPr>
        <w:ind w:firstLine="56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4、评审过程的澄清</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4.3接到磋商小组澄清要求的供应商应按磋商小组规定的时间和格式在磋商现场中做出澄清，澄清的内容作为响应文件的补充部分，但实质性的内容不得做任何更改。</w:t>
      </w:r>
      <w:r/>
    </w:p>
    <w:p>
      <w:pPr>
        <w:ind w:firstLine="56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4.4 接到磋商小组澄清要求的供应商如未按规定做出澄清，其风</w:t>
      </w:r>
      <w:r>
        <w:rPr>
          <w:rFonts w:hint="eastAsia" w:ascii="宋体" w:hAnsi="宋体" w:cs="宋体"/>
          <w:bCs/>
          <w:color w:val="000000"/>
          <w:sz w:val="24"/>
          <w:highlight w:val="none"/>
        </w:rPr>
        <w:t xml:space="preserve">险由供应商自行承担。</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5.对响应文件的初审</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5.1响应文件初审分为资格性审查和符合性审查。</w:t>
      </w:r>
      <w:r/>
    </w:p>
    <w:p>
      <w:pPr>
        <w:ind w:firstLine="560"/>
        <w:spacing w:line="360" w:lineRule="auto"/>
        <w:rPr>
          <w:rFonts w:hint="eastAsia" w:ascii="宋体" w:hAnsi="宋体" w:cs="宋体"/>
          <w:sz w:val="24"/>
          <w:highlight w:val="none"/>
        </w:rPr>
      </w:pPr>
      <w:r>
        <w:rPr>
          <w:rFonts w:hint="eastAsia" w:ascii="宋体" w:hAnsi="宋体" w:cs="宋体"/>
          <w:bCs/>
          <w:color w:val="000000"/>
          <w:sz w:val="24"/>
          <w:highlight w:val="none"/>
        </w:rPr>
        <w:t xml:space="preserve">5.1.1资格性审查：依据法律法规和磋商文件的规定，由采购单位委托磋商小组对响应文件中的资格审查文件进行审查</w:t>
      </w:r>
      <w:r>
        <w:rPr>
          <w:rFonts w:hint="eastAsia" w:ascii="宋体" w:hAnsi="宋体" w:cs="宋体"/>
          <w:sz w:val="24"/>
          <w:highlight w:val="none"/>
        </w:rPr>
        <w:t xml:space="preserve">，以确定供应商是否具备参加磋商的资格</w:t>
      </w:r>
      <w:r>
        <w:rPr>
          <w:rFonts w:hint="eastAsia" w:ascii="宋体" w:hAnsi="宋体" w:cs="宋体"/>
          <w:bCs/>
          <w:color w:val="000000"/>
          <w:sz w:val="24"/>
          <w:highlight w:val="none"/>
        </w:rPr>
        <w:t xml:space="preserve">。在进行资格性审查的同时，将在“信用中国”网站查询供应商的信用记录，以确定供应商是否具备响应资格,查询结果留存并归档。如为接受联合体的项目，两个以上的自然人、法人或者其他组织组成一个联合体，以一个供应商的身份共同参加政府采购活动的,</w:t>
      </w:r>
      <w:r>
        <w:rPr>
          <w:rFonts w:hint="eastAsia" w:ascii="宋体" w:hAnsi="宋体" w:cs="宋体"/>
          <w:sz w:val="24"/>
          <w:highlight w:val="none"/>
        </w:rPr>
        <w:t xml:space="preserve">联合体成员中任何一方存在不良信用记录的，视同联合体存在不良应用记录。</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5.1.3未通过资格审查或符合性审查的供应商人，采购代理机构将苏采云系统中告知未通过资格审查或符合性审查的原因，评审结束后，采购代理机构将不再告知未通过资格审查或符合性审查的原因。</w:t>
      </w:r>
      <w:r/>
    </w:p>
    <w:p>
      <w:pPr>
        <w:ind w:firstLine="56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5.2在详细评审之前，磋商小组将首先审查每份响应文件是否实质性响应了磋商文件的要求。实质性响应的响应文件应该是与磋商文件要求的全部条款、条件和规格相符，没有重大负偏离或保留。</w:t>
      </w:r>
      <w:r/>
    </w:p>
    <w:p>
      <w:pPr>
        <w:ind w:firstLine="56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5.4</w:t>
      </w:r>
      <w:r>
        <w:rPr>
          <w:rFonts w:hint="eastAsia" w:ascii="宋体" w:hAnsi="宋体" w:cs="宋体"/>
          <w:bCs/>
          <w:color w:val="000000"/>
          <w:sz w:val="24"/>
          <w:highlight w:val="none"/>
        </w:rPr>
        <w:t xml:space="preserve">磋商小组将对确定为实质性响应的文件进行进一步审核，看其是否有计算上或累加上的算术错误，修正错误的原则如下：</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（1）响应文件中</w:t>
      </w:r>
      <w:r>
        <w:rPr>
          <w:rFonts w:hint="eastAsia" w:ascii="宋体" w:hAnsi="宋体" w:cs="宋体"/>
          <w:color w:val="000000"/>
          <w:sz w:val="24"/>
          <w:highlight w:val="none"/>
        </w:rPr>
        <w:t xml:space="preserve">磋商报价总表</w:t>
      </w:r>
      <w:r>
        <w:rPr>
          <w:rFonts w:hint="eastAsia" w:ascii="宋体" w:hAnsi="宋体" w:cs="宋体"/>
          <w:bCs/>
          <w:color w:val="000000"/>
          <w:sz w:val="24"/>
          <w:highlight w:val="none"/>
        </w:rPr>
        <w:t xml:space="preserve">内容与响应文件中相应内容不一致的，以</w:t>
      </w:r>
      <w:r>
        <w:rPr>
          <w:rFonts w:hint="eastAsia" w:ascii="宋体" w:hAnsi="宋体" w:cs="宋体"/>
          <w:color w:val="000000"/>
          <w:sz w:val="24"/>
          <w:highlight w:val="none"/>
        </w:rPr>
        <w:t xml:space="preserve">磋商报价总表</w:t>
      </w:r>
      <w:r>
        <w:rPr>
          <w:rFonts w:hint="eastAsia" w:ascii="宋体" w:hAnsi="宋体" w:cs="宋体"/>
          <w:bCs/>
          <w:color w:val="000000"/>
          <w:sz w:val="24"/>
          <w:highlight w:val="none"/>
        </w:rPr>
        <w:t xml:space="preserve">为准。</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（2）大写金额和小写金额不一致的，以大写金额为准。</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（3）单价金额小数点或者百分比有明显错位的，以</w:t>
      </w:r>
      <w:r>
        <w:rPr>
          <w:rFonts w:hint="eastAsia" w:ascii="宋体" w:hAnsi="宋体" w:cs="宋体"/>
          <w:color w:val="000000"/>
          <w:sz w:val="24"/>
          <w:highlight w:val="none"/>
        </w:rPr>
        <w:t xml:space="preserve">磋商报价总表</w:t>
      </w:r>
      <w:r>
        <w:rPr>
          <w:rFonts w:hint="eastAsia" w:ascii="宋体" w:hAnsi="宋体" w:cs="宋体"/>
          <w:bCs/>
          <w:color w:val="000000"/>
          <w:sz w:val="24"/>
          <w:highlight w:val="none"/>
        </w:rPr>
        <w:t xml:space="preserve">的总价为准，并修改单价。</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（4）总价金额与按单价汇总金额不一致的，以单价金额计算结果为准。</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同时出现两种以上错误的，按照前款规定的顺序修正。</w:t>
      </w:r>
      <w:r/>
    </w:p>
    <w:p>
      <w:pPr>
        <w:ind w:firstLine="56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rPr>
        <w:t xml:space="preserve">.5磋商小组将按上述修正错误的方法调整响应文件中的报价，通过“苏采云系统”</w:t>
      </w:r>
      <w:r>
        <w:rPr>
          <w:rFonts w:hint="eastAsia" w:ascii="宋体" w:hAnsi="宋体" w:cs="宋体"/>
          <w:b/>
          <w:color w:val="000000"/>
          <w:sz w:val="24"/>
          <w:highlight w:val="none"/>
        </w:rPr>
        <w:t xml:space="preserve">开标大厅</w:t>
      </w:r>
      <w:r>
        <w:rPr>
          <w:rFonts w:hint="eastAsia" w:ascii="宋体" w:hAnsi="宋体" w:cs="宋体"/>
          <w:bCs/>
          <w:color w:val="000000"/>
          <w:sz w:val="24"/>
          <w:highlight w:val="none"/>
        </w:rPr>
        <w:t xml:space="preserve">告知供应商，调整后的价格应对供应商具有约束力。如果供应商不接受修正后的价格，则其磋商响应文件将被拒绝。</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5.6磋商小组将允许修正响应文件中不构成重大偏离的、微小的、非正规的、不一致的或不规则的地方，但这些修改不能影响任何供应商相应的名次排列。</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5.7供应商在评审全过程中应保持通讯畅通，并安排专人与采购单位或采购代理机构及磋商小组联系。</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5.8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本项目不适用。</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非单一产品采购项目，磋商文件中将载明其中的核心产品。多家供应商提供的核心产品品牌相同的，按前款规定处理。本项目不适用。</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5.8 异常低价审查</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5.8.1根据省财政厅《关于推动解决政府采购异常低价问题相关工作的通知》（苏财购〔2025〕62号）要求，评审过程中出现下列情形之一的，评审委员会应当启动异常低价投标（响应）审查程序：</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（1）投标(响应)报价低于采购项目预算50%的，即投标(响应)报价&lt;采购项目预算×50%;</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（2）投标(响应)报价低于采购项目最高限价45%的，即投标(响应)报价&lt;采购项目最高限价×45%;</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（3）评审委员会认定的供应商报价过低、有可能影响产品质量或者不能诚信履约的其他情形。</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5.8.2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Cs/>
          <w:sz w:val="24"/>
          <w:highlight w:val="none"/>
          <w:lang w:val="en-US" w:eastAsia="zh-CN"/>
        </w:rPr>
        <w:t xml:space="preserve">。</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 响应文件线上格式要求</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6.1供应商应当通过“苏采云”系统提交数据电文形式的响应文件（即电子投标）。</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6.2 通过“苏采云”系统提交政府采购客户端工具导出加密的响应文件（后缀名为zip）。响应文件不得超过150M！</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6.3 本项目采用线上投标，即供应商响应文件从政府采购客户端工具制作通过“苏采云”系统提交，未提供线上响应文件的，响应无效。</w:t>
      </w:r>
      <w:r/>
    </w:p>
    <w:p>
      <w:pPr>
        <w:ind w:firstLine="56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 被认定为未实质性响应磋商文件的响应文件的情形：</w:t>
      </w:r>
      <w:r/>
    </w:p>
    <w:p>
      <w:pPr>
        <w:ind w:firstLine="56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7.1 出现下列情形之一的，作无效响应处理：</w:t>
      </w:r>
      <w:r>
        <w:rPr>
          <w:rFonts w:hint="eastAsia" w:ascii="宋体" w:hAnsi="宋体" w:cs="宋体"/>
          <w:b/>
          <w:color w:val="000000"/>
          <w:sz w:val="24"/>
          <w:highlight w:val="none"/>
        </w:rPr>
        <w:tab/>
      </w:r>
      <w:r>
        <w:rPr>
          <w:rFonts w:hint="eastAsia" w:ascii="宋体" w:hAnsi="宋体" w:cs="宋体"/>
          <w:b/>
          <w:color w:val="000000"/>
          <w:sz w:val="24"/>
          <w:highlight w:val="none"/>
        </w:rPr>
        <w:tab/>
      </w:r>
      <w:r/>
    </w:p>
    <w:p>
      <w:pPr>
        <w:ind w:firstLine="56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7.1.1 响应文件未按照磋商文件要求签署、加盖电子签章及主要资料不齐全的。</w:t>
      </w:r>
      <w:r/>
    </w:p>
    <w:p>
      <w:pPr>
        <w:ind w:firstLine="56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7.1.2 磋商响应文件的资料有虚报或者谎报的。</w:t>
      </w:r>
      <w:r/>
    </w:p>
    <w:p>
      <w:pPr>
        <w:ind w:firstLine="56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7.1.3  供应商在”苏采云”系统规定的时间内未成功解密电子响应文件的。</w:t>
      </w:r>
      <w:r/>
    </w:p>
    <w:p>
      <w:pPr>
        <w:ind w:firstLine="56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7.1.4 供应商未按照磋商文件要求上传电子响应文件的,或上传的文件打不开的。</w:t>
      </w:r>
      <w:r/>
    </w:p>
    <w:p>
      <w:pPr>
        <w:ind w:firstLine="56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7.1.5 供应商在规定的时间内未提交最终报价的。</w:t>
      </w:r>
      <w:r/>
    </w:p>
    <w:p>
      <w:pPr>
        <w:ind w:firstLine="56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7.1.6 未通过符合性检查或不具备磋商文件中规定的资格要求的。</w:t>
      </w:r>
      <w:r/>
    </w:p>
    <w:p>
      <w:pPr>
        <w:ind w:firstLine="56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7.1.7 磋商响应文件有重大漏项或重大不合理的。</w:t>
      </w:r>
      <w:r/>
    </w:p>
    <w:p>
      <w:pPr>
        <w:ind w:firstLine="560"/>
        <w:spacing w:line="360" w:lineRule="auto"/>
        <w:tabs>
          <w:tab w:val="left" w:pos="6555" w:leader="none"/>
          <w:tab w:val="right" w:pos="8306"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7.1.8 项目技术、方案不满足项目需求中的要求，有重大偏离或保留的。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7.1.9 同一供应商提交两个（含两个）以上不同的响应报价的。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7.1.10 响应报价超过了采购预算或最高限价的。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7.1.11 供应商的商务技术部分得分相差悬殊，评标委员一致认为得分畸低者有可能影响产品质量或者不能诚信履约的。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7.1.12 磋商小</w:t>
      </w:r>
      <w:r>
        <w:rPr>
          <w:rFonts w:hint="eastAsia" w:ascii="宋体" w:hAnsi="宋体" w:eastAsia="宋体" w:cs="宋体"/>
          <w:b/>
          <w:color w:val="000000"/>
          <w:sz w:val="24"/>
          <w:highlight w:val="none"/>
        </w:rPr>
        <w:t xml:space="preserve">组</w:t>
      </w:r>
      <w:r>
        <w:rPr>
          <w:rFonts w:hint="eastAsia" w:ascii="宋体" w:hAnsi="宋体" w:eastAsia="宋体" w:cs="宋体"/>
          <w:b/>
          <w:color w:val="000000"/>
          <w:sz w:val="24"/>
          <w:highlight w:val="none"/>
          <w:lang w:eastAsia="zh-CN"/>
        </w:rPr>
        <w:t xml:space="preserve">在</w:t>
      </w:r>
      <w:r>
        <w:rPr>
          <w:rFonts w:hint="eastAsia" w:ascii="宋体" w:hAnsi="宋体" w:eastAsia="宋体" w:cs="宋体"/>
          <w:b/>
          <w:color w:val="000000"/>
          <w:sz w:val="24"/>
          <w:highlight w:val="none"/>
          <w:lang w:val="en-US" w:eastAsia="zh-CN"/>
        </w:rPr>
        <w:t xml:space="preserve">异常低价审查时</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eastAsia="zh-CN"/>
        </w:rPr>
        <w:t xml:space="preserve">认为供应商的报价</w:t>
      </w:r>
      <w:r>
        <w:rPr>
          <w:rFonts w:hint="eastAsia" w:ascii="宋体" w:hAnsi="宋体" w:eastAsia="宋体" w:cs="宋体"/>
          <w:b/>
          <w:color w:val="000000"/>
          <w:sz w:val="24"/>
          <w:highlight w:val="none"/>
        </w:rPr>
        <w:t xml:space="preserve">有可能影</w:t>
      </w:r>
      <w:r>
        <w:rPr>
          <w:rFonts w:hint="eastAsia" w:ascii="宋体" w:hAnsi="宋体" w:cs="宋体"/>
          <w:b/>
          <w:color w:val="000000"/>
          <w:sz w:val="24"/>
          <w:highlight w:val="none"/>
        </w:rPr>
        <w:t xml:space="preserve">响产品质量或者不能诚信履约的，将要求其在合理的时间内提供书面说明，必要时提交相关证明材料；供应商不能证明其报价合理性的。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7.1.13 除非在磋商中磋商小组对采购单位需求内容作了调整，或对采购内容作了实质性变更，供应商的磋商报价高于自己前一轮的。</w:t>
      </w:r>
      <w:r/>
    </w:p>
    <w:p>
      <w:pPr>
        <w:ind w:firstLine="56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7.1.14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7.1.15 响应文件含有采购单位不能接受的附加条件的。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7.1.16 本项目采购产品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的、处于有效期之内的该节能产品认证证书图片）。</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7.1.17 不同的供应商响应文件制作机器码、文件创建标识码一致的。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7.1.18 以他人的名义投标、串通投标、以行贿手段谋取成交或者以其他弄虚作假方式磋商响应的。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7.1.19 磋商响应文件关键内容模糊、无法辨认。</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7.1.20 供应商在响应文件递交截止时间当日，建筑业企业资质（仅本项目要求的资质）动态监管结果处于不合格状态。注：供应商某项被核查为不合格的资质，不得参加该资质的招投标、合同备案等经营活动。</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7.1.21 磋商响应文件中已标价工程量清单与磋商文件提供的工程量清单中的项目编码、项目名称、项目特征、计量单位、工程量不一致的。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7.1.22 磋商响应文件中已标价工程量清单与磋商文件规定的暂估价、暂列金额及甲供材料价格不一致的。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7.1.23 磋商响应文件中已标价工程量清单与磋商文件明确列出的不可竞争费用项目或费率或计算基础不一致的。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7.1.24 磋商响应文件载明的招标项目完成期限超过磋商文件规定的期限的。</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7.1.25 组成联合体投标未提供联合体各方共同投标协议的(本项目不适用)。</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7.1.26 在同一招标项目中，联合体成员以自己名义单独投标或者参加其他联合体投标的(本项目不适用)；</w:t>
      </w:r>
      <w:r/>
    </w:p>
    <w:p>
      <w:pPr>
        <w:ind w:firstLine="56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7.1.27 其他法律、法规及本磋商文件规定的其他实质性要求的情形。</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7.2出现下列情形之一的，磋商失败：</w:t>
      </w:r>
      <w:r/>
    </w:p>
    <w:p>
      <w:pPr>
        <w:ind w:firstLine="560"/>
        <w:spacing w:line="360" w:lineRule="auto"/>
        <w:rPr>
          <w:rFonts w:hint="eastAsia" w:ascii="宋体" w:hAnsi="宋体" w:cs="宋体"/>
          <w:bCs/>
          <w:sz w:val="24"/>
          <w:highlight w:val="none"/>
        </w:rPr>
      </w:pPr>
      <w:r>
        <w:rPr>
          <w:rFonts w:hint="eastAsia" w:ascii="宋体" w:hAnsi="宋体" w:cs="宋体"/>
          <w:bCs/>
          <w:color w:val="000000"/>
          <w:sz w:val="24"/>
          <w:highlight w:val="none"/>
        </w:rPr>
        <w:t xml:space="preserve">7.2.1符合条件的供应商或者对磋商文件作实质响应的供应商或</w:t>
      </w:r>
      <w:r>
        <w:rPr>
          <w:rFonts w:hint="eastAsia" w:ascii="宋体" w:hAnsi="宋体" w:cs="宋体"/>
          <w:bCs/>
          <w:sz w:val="24"/>
          <w:highlight w:val="none"/>
        </w:rPr>
        <w:t xml:space="preserve">在苏采云系统规定时间内成功解密电子响应文件的供应商</w:t>
      </w:r>
      <w:r>
        <w:rPr>
          <w:rFonts w:hint="eastAsia" w:ascii="宋体" w:hAnsi="宋体" w:cs="宋体"/>
          <w:bCs/>
          <w:color w:val="000000"/>
          <w:sz w:val="24"/>
          <w:highlight w:val="none"/>
        </w:rPr>
        <w:t xml:space="preserve">不足3家的，除</w:t>
      </w:r>
      <w:r>
        <w:rPr>
          <w:rFonts w:hint="eastAsia" w:ascii="宋体" w:hAnsi="宋体" w:cs="宋体"/>
          <w:bCs/>
          <w:sz w:val="24"/>
          <w:highlight w:val="none"/>
        </w:rPr>
        <w:t xml:space="preserve">《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560"/>
        <w:spacing w:line="360" w:lineRule="auto"/>
        <w:rPr>
          <w:rFonts w:hint="eastAsia" w:ascii="宋体" w:hAnsi="宋体" w:cs="宋体"/>
          <w:bCs/>
          <w:sz w:val="24"/>
          <w:highlight w:val="none"/>
        </w:rPr>
      </w:pPr>
      <w:r>
        <w:rPr>
          <w:rFonts w:hint="eastAsia" w:ascii="宋体" w:hAnsi="宋体" w:cs="宋体"/>
          <w:bCs/>
          <w:sz w:val="24"/>
          <w:highlight w:val="none"/>
        </w:rPr>
        <w:t xml:space="preserve">7.2.2出现影响采购公正的违法违规行为的。</w:t>
      </w:r>
      <w:r/>
    </w:p>
    <w:p>
      <w:pPr>
        <w:ind w:firstLine="560"/>
        <w:spacing w:line="360" w:lineRule="auto"/>
        <w:rPr>
          <w:rFonts w:hint="eastAsia" w:ascii="宋体" w:hAnsi="宋体" w:cs="宋体"/>
          <w:bCs/>
          <w:sz w:val="24"/>
          <w:highlight w:val="none"/>
        </w:rPr>
      </w:pPr>
      <w:r>
        <w:rPr>
          <w:rFonts w:hint="eastAsia" w:ascii="宋体" w:hAnsi="宋体" w:cs="宋体"/>
          <w:bCs/>
          <w:sz w:val="24"/>
          <w:highlight w:val="none"/>
        </w:rPr>
        <w:t xml:space="preserve">7.2.3因重大变故，采购任务取消的。</w:t>
      </w:r>
      <w:r/>
    </w:p>
    <w:p>
      <w:pPr>
        <w:ind w:firstLine="560"/>
        <w:spacing w:line="360" w:lineRule="auto"/>
        <w:rPr>
          <w:rFonts w:hint="eastAsia" w:ascii="宋体" w:hAnsi="宋体" w:cs="宋体"/>
          <w:bCs/>
          <w:sz w:val="24"/>
          <w:highlight w:val="none"/>
        </w:rPr>
      </w:pPr>
      <w:r>
        <w:rPr>
          <w:rFonts w:hint="eastAsia" w:ascii="宋体" w:hAnsi="宋体" w:cs="宋体"/>
          <w:bCs/>
          <w:sz w:val="24"/>
          <w:highlight w:val="none"/>
        </w:rPr>
        <w:t xml:space="preserve">7.2.4磋商小组认定磋商文件存在歧义、重大缺陷导致评审工作无法进行。</w:t>
      </w:r>
      <w:r/>
    </w:p>
    <w:p>
      <w:pPr>
        <w:ind w:firstLine="560"/>
        <w:spacing w:line="360" w:lineRule="auto"/>
        <w:rPr>
          <w:rFonts w:hint="eastAsia" w:ascii="宋体" w:hAnsi="宋体" w:cs="宋体"/>
          <w:bCs/>
          <w:sz w:val="24"/>
          <w:highlight w:val="none"/>
        </w:rPr>
      </w:pPr>
      <w:r>
        <w:rPr>
          <w:rFonts w:hint="eastAsia" w:ascii="宋体" w:hAnsi="宋体" w:cs="宋体"/>
          <w:bCs/>
          <w:sz w:val="24"/>
          <w:highlight w:val="none"/>
        </w:rPr>
        <w:t xml:space="preserve">7.2.5供应商的报价均超出了采购预算或最高限价，采购单位不能支付的；</w:t>
      </w:r>
      <w:r/>
    </w:p>
    <w:p>
      <w:pPr>
        <w:ind w:firstLine="560"/>
        <w:spacing w:line="360" w:lineRule="auto"/>
        <w:rPr>
          <w:rFonts w:hint="eastAsia" w:ascii="宋体" w:hAnsi="宋体" w:cs="宋体"/>
          <w:bCs/>
          <w:sz w:val="24"/>
          <w:highlight w:val="none"/>
        </w:rPr>
      </w:pPr>
      <w:r>
        <w:rPr>
          <w:rFonts w:hint="eastAsia" w:ascii="宋体" w:hAnsi="宋体" w:cs="宋体"/>
          <w:bCs/>
          <w:sz w:val="24"/>
          <w:highlight w:val="none"/>
        </w:rPr>
        <w:t xml:space="preserve">7.2.6 因情况变化，不再符合规定的竞争性磋商采购方式所适用情形的；</w:t>
      </w:r>
      <w:r/>
    </w:p>
    <w:p>
      <w:pPr>
        <w:ind w:firstLine="560"/>
        <w:spacing w:line="360" w:lineRule="auto"/>
        <w:rPr>
          <w:rFonts w:hint="eastAsia" w:ascii="宋体" w:hAnsi="宋体" w:cs="宋体"/>
          <w:bCs/>
          <w:sz w:val="24"/>
          <w:highlight w:val="none"/>
        </w:rPr>
      </w:pPr>
      <w:r>
        <w:rPr>
          <w:rFonts w:hint="eastAsia" w:ascii="宋体" w:hAnsi="宋体" w:cs="宋体"/>
          <w:bCs/>
          <w:sz w:val="24"/>
          <w:highlight w:val="none"/>
        </w:rPr>
        <w:t xml:space="preserve">7.2.7因系统故障原因造成磋商无法继续进行的；</w:t>
      </w:r>
      <w:r/>
    </w:p>
    <w:p>
      <w:pPr>
        <w:ind w:firstLine="560"/>
        <w:spacing w:line="360" w:lineRule="auto"/>
        <w:rPr>
          <w:rFonts w:hint="eastAsia" w:ascii="宋体" w:hAnsi="宋体" w:cs="宋体"/>
          <w:bCs/>
          <w:sz w:val="24"/>
          <w:highlight w:val="none"/>
        </w:rPr>
      </w:pPr>
      <w:r>
        <w:rPr>
          <w:rFonts w:hint="eastAsia" w:ascii="宋体" w:hAnsi="宋体" w:cs="宋体"/>
          <w:bCs/>
          <w:sz w:val="24"/>
          <w:highlight w:val="none"/>
        </w:rPr>
        <w:t xml:space="preserve">7.2.8磋商小组依据法律法规可以认定为废标的其他情况。</w:t>
      </w:r>
      <w:bookmarkEnd w:id="52"/>
      <w:bookmarkEnd w:id="53"/>
      <w:bookmarkEnd w:id="54"/>
      <w:r/>
    </w:p>
    <w:p>
      <w:pPr>
        <w:ind w:firstLine="562"/>
        <w:spacing w:line="360" w:lineRule="auto"/>
        <w:rPr>
          <w:rFonts w:hint="eastAsia" w:ascii="宋体" w:hAnsi="宋体" w:cs="宋体"/>
          <w:b/>
          <w:bCs/>
          <w:color w:val="000000"/>
          <w:sz w:val="24"/>
          <w:highlight w:val="none"/>
        </w:rPr>
        <w:outlineLvl w:val="2"/>
      </w:pPr>
      <w:r/>
      <w:bookmarkStart w:id="55" w:name="_Toc120614219"/>
      <w:r>
        <w:rPr>
          <w:rFonts w:hint="eastAsia" w:ascii="宋体" w:hAnsi="宋体" w:cs="宋体"/>
          <w:b/>
          <w:bCs/>
          <w:color w:val="000000"/>
          <w:sz w:val="24"/>
          <w:highlight w:val="none"/>
        </w:rPr>
        <w:t xml:space="preserve">（七）</w:t>
      </w:r>
      <w:bookmarkEnd w:id="55"/>
      <w:r>
        <w:rPr>
          <w:rFonts w:hint="eastAsia" w:ascii="宋体" w:hAnsi="宋体" w:cs="宋体"/>
          <w:b/>
          <w:bCs/>
          <w:color w:val="000000"/>
          <w:sz w:val="24"/>
          <w:highlight w:val="none"/>
        </w:rPr>
        <w:t xml:space="preserve">成交</w:t>
      </w:r>
      <w:r/>
    </w:p>
    <w:p>
      <w:pPr>
        <w:ind w:firstLine="560"/>
        <w:spacing w:line="360" w:lineRule="auto"/>
        <w:rPr>
          <w:rFonts w:hint="eastAsia" w:ascii="宋体" w:hAnsi="宋体" w:cs="宋体"/>
          <w:b/>
          <w:color w:val="000000"/>
          <w:sz w:val="24"/>
          <w:highlight w:val="none"/>
        </w:rPr>
        <w:outlineLvl w:val="3"/>
      </w:pPr>
      <w:r/>
      <w:bookmarkStart w:id="56" w:name="_Toc20823310"/>
      <w:r/>
      <w:bookmarkStart w:id="57" w:name="_Toc16938554"/>
      <w:r>
        <w:rPr>
          <w:rFonts w:hint="eastAsia" w:ascii="宋体" w:hAnsi="宋体" w:cs="宋体"/>
          <w:color w:val="000000"/>
          <w:sz w:val="24"/>
          <w:highlight w:val="none"/>
        </w:rPr>
        <w:t xml:space="preserve">1.确定</w:t>
      </w:r>
      <w:bookmarkEnd w:id="56"/>
      <w:r/>
      <w:bookmarkEnd w:id="57"/>
      <w:r>
        <w:rPr>
          <w:rFonts w:hint="eastAsia" w:ascii="宋体" w:hAnsi="宋体" w:cs="宋体"/>
          <w:color w:val="000000"/>
          <w:sz w:val="24"/>
          <w:highlight w:val="none"/>
        </w:rPr>
        <w:t xml:space="preserve">成交单位</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1.1成交候选供应商的选取原则和数量见磋商文件第四部分规定。 </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 采购单位在磋商小组推荐的成交候选供应商中直接确定成交供应商。</w:t>
      </w:r>
      <w:r/>
    </w:p>
    <w:p>
      <w:pPr>
        <w:ind w:firstLine="56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1.3 </w:t>
      </w:r>
      <w:r>
        <w:rPr>
          <w:rFonts w:hint="eastAsia" w:ascii="宋体" w:hAnsi="宋体" w:cs="宋体"/>
          <w:color w:val="000000"/>
          <w:sz w:val="24"/>
          <w:highlight w:val="none"/>
        </w:rPr>
        <w:t xml:space="preserve">采购代理机构将在“江苏省政府采购网”发布成交结果公告，公告期限为1个工作日。</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1.4若有充分证据证明，成交供应商出现下列情况之一的，一经查实，将被取消成交资格：</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1.4.1提供虚假材料谋取成交的。</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1.4.2向采购单位、采购代理机构行贿或者评审专家提供其他不正当利益的。</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1.4.3恶意竞争，最终总报价明显低于其自身合理成本且又无法提供证明的。</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1.4.4属于本文件规定的无效条件，但在评审过程中又未被磋商小组会发现的。</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1.4.5与</w:t>
      </w:r>
      <w:r>
        <w:rPr>
          <w:rFonts w:hint="eastAsia" w:ascii="宋体" w:hAnsi="宋体" w:cs="宋体"/>
          <w:sz w:val="24"/>
          <w:highlight w:val="none"/>
        </w:rPr>
        <w:t xml:space="preserve">评审专家、采购单位</w:t>
      </w:r>
      <w:r>
        <w:rPr>
          <w:rFonts w:hint="eastAsia" w:ascii="宋体" w:hAnsi="宋体" w:cs="宋体"/>
          <w:color w:val="000000"/>
          <w:sz w:val="24"/>
          <w:highlight w:val="none"/>
        </w:rPr>
        <w:t xml:space="preserve">或者其他供应商恶意串通的。</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1.4.6采取不正当手段诋毁、排挤其他供应商的。</w:t>
      </w:r>
      <w:r/>
    </w:p>
    <w:p>
      <w:pPr>
        <w:ind w:firstLine="560"/>
        <w:spacing w:line="360" w:lineRule="auto"/>
        <w:rPr>
          <w:rFonts w:hint="eastAsia" w:ascii="宋体" w:hAnsi="宋体" w:cs="宋体"/>
          <w:color w:val="000000"/>
          <w:sz w:val="24"/>
          <w:highlight w:val="none"/>
        </w:rPr>
      </w:pPr>
      <w:r/>
      <w:bookmarkStart w:id="58" w:name="_Toc200451960"/>
      <w:r>
        <w:rPr>
          <w:rFonts w:hint="eastAsia" w:ascii="宋体" w:hAnsi="宋体" w:cs="宋体"/>
          <w:color w:val="000000"/>
          <w:sz w:val="24"/>
          <w:highlight w:val="none"/>
        </w:rPr>
        <w:t xml:space="preserve">1.4.7成交后无正当理由拒不与采购单位签订采购合同或者未按照磋商文件确定的事项签订合同的。</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1.4.8</w:t>
      </w:r>
      <w:r>
        <w:rPr>
          <w:rFonts w:hint="eastAsia" w:ascii="宋体" w:hAnsi="宋体" w:cs="宋体"/>
          <w:color w:val="000000"/>
          <w:sz w:val="24"/>
          <w:highlight w:val="none"/>
          <w:lang w:val="zh-CN"/>
        </w:rPr>
        <w:t xml:space="preserve">将本项目转包或违法分包的。</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1.5有下列情形之一的，视为供应商串通参与磋商，响应无效：</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1.5.1不同供应商的响应文件由同一单位或者个人编制；</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1.5.2不同供应商委托同一单位或者个人办理磋商事宜；</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1.5.3不同供应商的响应文件载明的项目管理成员或者联系人员为同一人；</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1.5.4不同供应商的响应文件异常一致或者响应报价呈规律性差异。</w:t>
      </w:r>
      <w:r/>
    </w:p>
    <w:p>
      <w:pPr>
        <w:ind w:firstLine="560"/>
        <w:spacing w:line="360" w:lineRule="auto"/>
        <w:rPr>
          <w:rFonts w:hint="eastAsia" w:ascii="宋体" w:hAnsi="宋体" w:cs="宋体"/>
          <w:b/>
          <w:color w:val="000000"/>
          <w:sz w:val="24"/>
          <w:highlight w:val="none"/>
        </w:rPr>
        <w:outlineLvl w:val="3"/>
      </w:pPr>
      <w:r>
        <w:rPr>
          <w:rFonts w:hint="eastAsia" w:ascii="宋体" w:hAnsi="宋体" w:cs="宋体"/>
          <w:color w:val="000000"/>
          <w:sz w:val="24"/>
          <w:highlight w:val="none"/>
        </w:rPr>
        <w:t xml:space="preserve">2.质疑处理</w:t>
      </w:r>
      <w:bookmarkEnd w:id="5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2.2.1对可以质疑的磋商文件提出质疑的，为收到磋商文件之日或者采购邀请期限届满之日；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2.2.2对采购过程提出质疑的，为各采购程序环节结束之日；</w:t>
      </w:r>
      <w:r>
        <w:rPr>
          <w:rFonts w:hint="eastAsia" w:ascii="宋体" w:hAnsi="宋体" w:cs="宋体"/>
          <w:sz w:val="24"/>
          <w:highlight w:val="none"/>
        </w:rPr>
        <w:br/>
      </w:r>
      <w:r>
        <w:rPr>
          <w:rFonts w:hint="eastAsia" w:ascii="宋体" w:hAnsi="宋体" w:cs="宋体"/>
          <w:sz w:val="24"/>
          <w:highlight w:val="none"/>
        </w:rPr>
        <w:t xml:space="preserve">　　</w:t>
      </w:r>
      <w:r>
        <w:rPr>
          <w:rFonts w:hint="eastAsia" w:ascii="宋体" w:hAnsi="宋体" w:cs="宋体"/>
          <w:b/>
          <w:sz w:val="24"/>
          <w:highlight w:val="none"/>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2.2.3对成交结果提出质疑的，为成交结果公告期限届满之日。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采购单位质疑接收人及联系方式，见磋商文件第一部分。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 以下情形的质疑不予受理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2.5.1 内容不符合《政府采购质疑和投诉办法》第十二条规定的质疑。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 超出政府采购法定期限的质疑。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2.5.3 未参加磋商活动的供应商或在磋商活动中自身权益未受到损害的供应商所提出的质疑。</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2.5.4供应商组成联合体参加磋商，联合体中任何一方或多方未按要求签字、盖章、加盖公章的质疑。</w:t>
      </w:r>
      <w:r/>
    </w:p>
    <w:p>
      <w:pPr>
        <w:ind w:firstLine="468"/>
        <w:spacing w:line="360" w:lineRule="auto"/>
        <w:rPr>
          <w:rFonts w:hint="eastAsia" w:ascii="宋体" w:hAnsi="宋体" w:cs="宋体"/>
          <w:sz w:val="24"/>
          <w:highlight w:val="none"/>
        </w:rPr>
      </w:pPr>
      <w:r>
        <w:rPr>
          <w:rFonts w:hint="eastAsia" w:ascii="宋体" w:hAnsi="宋体" w:cs="宋体"/>
          <w:sz w:val="24"/>
          <w:highlight w:val="none"/>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360" w:lineRule="auto"/>
        <w:rPr>
          <w:rFonts w:hint="eastAsia" w:ascii="宋体" w:hAnsi="宋体" w:cs="宋体"/>
          <w:sz w:val="24"/>
          <w:highlight w:val="none"/>
        </w:rPr>
      </w:pPr>
      <w:r>
        <w:rPr>
          <w:rFonts w:hint="eastAsia" w:ascii="宋体" w:hAnsi="宋体" w:cs="宋体"/>
          <w:sz w:val="24"/>
          <w:highlight w:val="none"/>
        </w:rPr>
        <w:t xml:space="preserve">3．成交通知书</w:t>
      </w:r>
      <w:r/>
    </w:p>
    <w:p>
      <w:pPr>
        <w:ind w:firstLine="468"/>
        <w:spacing w:line="360" w:lineRule="auto"/>
        <w:rPr>
          <w:rFonts w:hint="eastAsia" w:ascii="宋体" w:hAnsi="宋体" w:cs="宋体"/>
          <w:sz w:val="24"/>
          <w:highlight w:val="none"/>
        </w:rPr>
      </w:pPr>
      <w:r>
        <w:rPr>
          <w:rFonts w:hint="eastAsia" w:ascii="宋体" w:hAnsi="宋体" w:cs="宋体"/>
          <w:sz w:val="24"/>
          <w:highlight w:val="none"/>
        </w:rPr>
        <w:t xml:space="preserve">3.l成交结果确定后，采购单位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68"/>
        <w:spacing w:line="360" w:lineRule="auto"/>
        <w:rPr>
          <w:rFonts w:hint="eastAsia" w:ascii="宋体" w:hAnsi="宋体" w:cs="宋体"/>
          <w:sz w:val="24"/>
          <w:highlight w:val="none"/>
        </w:rPr>
      </w:pPr>
      <w:r>
        <w:rPr>
          <w:rFonts w:hint="eastAsia" w:ascii="宋体" w:hAnsi="宋体" w:cs="宋体"/>
          <w:sz w:val="24"/>
          <w:highlight w:val="none"/>
        </w:rPr>
        <w:t xml:space="preserve">3.2成交通知书将是合同的一个组成部分。对采购单位和成交供应商均具有法律效力。成交通知书发出后，采购单位改变成交结果的，或者成交供应商放弃磋商项目的，应当依法承担法律责任。</w:t>
      </w:r>
      <w:bookmarkStart w:id="59" w:name="_Toc120614220"/>
      <w:r/>
      <w:bookmarkStart w:id="60" w:name="_Toc513029236"/>
      <w:r/>
      <w:bookmarkStart w:id="61" w:name="_Toc16938552"/>
      <w:r/>
      <w:bookmarkStart w:id="62" w:name="_Toc20823308"/>
      <w:r/>
      <w:r/>
    </w:p>
    <w:p>
      <w:pPr>
        <w:ind w:firstLine="470"/>
        <w:spacing w:line="360" w:lineRule="auto"/>
        <w:rPr>
          <w:rFonts w:hint="eastAsia" w:ascii="宋体" w:hAnsi="宋体" w:cs="宋体"/>
          <w:b/>
          <w:bCs/>
          <w:sz w:val="24"/>
          <w:highlight w:val="none"/>
        </w:rPr>
      </w:pPr>
      <w:r>
        <w:rPr>
          <w:rFonts w:hint="eastAsia" w:ascii="宋体" w:hAnsi="宋体" w:cs="宋体"/>
          <w:b/>
          <w:bCs/>
          <w:sz w:val="24"/>
          <w:highlight w:val="none"/>
        </w:rPr>
        <w:t xml:space="preserve">特别说明：成交供应商在下载成交通知书后须提供3套加盖红章的系统内打印的纸质响应文件给采购代理机构。</w:t>
      </w:r>
      <w:r/>
    </w:p>
    <w:p>
      <w:pPr>
        <w:ind w:firstLine="562"/>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（八）授予合同</w:t>
      </w:r>
      <w:bookmarkEnd w:id="59"/>
      <w:r/>
      <w:bookmarkEnd w:id="60"/>
      <w:bookmarkEnd w:id="61"/>
      <w:bookmarkEnd w:id="62"/>
      <w:r/>
    </w:p>
    <w:p>
      <w:pPr>
        <w:ind w:firstLine="560"/>
        <w:spacing w:line="360" w:lineRule="auto"/>
        <w:rPr>
          <w:rFonts w:hint="eastAsia" w:ascii="宋体" w:hAnsi="宋体" w:cs="宋体"/>
          <w:b/>
          <w:color w:val="000000"/>
          <w:sz w:val="24"/>
          <w:highlight w:val="none"/>
        </w:rPr>
        <w:outlineLvl w:val="3"/>
      </w:pPr>
      <w:r/>
      <w:bookmarkStart w:id="63" w:name="_Toc513029237"/>
      <w:r/>
      <w:bookmarkStart w:id="64" w:name="_Toc20823309"/>
      <w:r/>
      <w:bookmarkStart w:id="65" w:name="_Toc16938553"/>
      <w:r>
        <w:rPr>
          <w:rFonts w:hint="eastAsia" w:ascii="宋体" w:hAnsi="宋体" w:cs="宋体"/>
          <w:color w:val="000000"/>
          <w:sz w:val="24"/>
          <w:highlight w:val="none"/>
        </w:rPr>
        <w:t xml:space="preserve">1.签订合同</w:t>
      </w:r>
      <w:r/>
    </w:p>
    <w:p>
      <w:pPr>
        <w:ind w:firstLine="56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.l成交供应商应当在成交通知书发出之日起三十日内，按照磋商文件确定的事项与采购单位签订政府采购合同。</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1.2磋商文件、成交供应商的响应文件及磋商过程中有关澄清、承诺文件均应作为合同附件。</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签订合同后，成交供应商不得将本项目进行转包。未经采购单位书面同意，成交供应商也不得采用分包的形式履行合同，否则采购单位有权终止合同，成交供应商的履约保证金将不予退还。政府采购合同分包履行的，成交供应商就采购项目和分包项目向采购单位负责，分包供应商就分包项目承担责任。转包或分包造成采购单位损失的，成交供应商应承担相应赔偿责任。</w:t>
      </w:r>
      <w:r/>
    </w:p>
    <w:p>
      <w:pPr>
        <w:ind w:firstLine="560"/>
        <w:spacing w:line="360" w:lineRule="auto"/>
        <w:rPr>
          <w:rFonts w:hint="eastAsia" w:ascii="宋体" w:hAnsi="宋体" w:cs="宋体"/>
          <w:b/>
          <w:color w:val="000000"/>
          <w:sz w:val="24"/>
          <w:highlight w:val="none"/>
        </w:rPr>
        <w:outlineLvl w:val="3"/>
      </w:pPr>
      <w:r>
        <w:rPr>
          <w:rFonts w:hint="eastAsia" w:ascii="宋体" w:hAnsi="宋体" w:cs="宋体"/>
          <w:color w:val="000000"/>
          <w:sz w:val="24"/>
          <w:highlight w:val="none"/>
        </w:rPr>
        <w:t xml:space="preserve">2.造价的追加、减少和添购</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2.1合同履行中，采购单位需增加与本项目相关工程量的，在不改变合同其他条款的前提下，可以与成交供应商协商签订补充合同，但所有补充合同的采购金额不超过原合同金额10%。</w:t>
      </w:r>
      <w:bookmarkEnd w:id="63"/>
      <w:bookmarkEnd w:id="64"/>
      <w:bookmarkEnd w:id="65"/>
      <w:r/>
    </w:p>
    <w:p>
      <w:pPr>
        <w:ind w:firstLine="482"/>
        <w:spacing w:line="360" w:lineRule="auto"/>
        <w:rPr>
          <w:rFonts w:hint="eastAsia" w:ascii="宋体" w:hAnsi="宋体" w:cs="宋体"/>
          <w:b/>
          <w:color w:val="000000"/>
          <w:sz w:val="24"/>
          <w:highlight w:val="none"/>
        </w:rPr>
        <w:outlineLvl w:val="3"/>
      </w:pPr>
      <w:r>
        <w:rPr>
          <w:rFonts w:hint="eastAsia" w:ascii="宋体" w:hAnsi="宋体" w:cs="宋体"/>
          <w:b/>
          <w:color w:val="000000"/>
          <w:sz w:val="24"/>
          <w:highlight w:val="none"/>
        </w:rPr>
        <w:t xml:space="preserve">3、办理政采贷和履约保函（保险）扶持政策</w:t>
      </w:r>
      <w:r/>
    </w:p>
    <w:p>
      <w:pPr>
        <w:ind w:firstLine="482"/>
        <w:spacing w:line="360" w:lineRule="auto"/>
        <w:rPr>
          <w:rFonts w:hint="eastAsia" w:ascii="宋体" w:hAnsi="宋体" w:cs="宋体"/>
          <w:b/>
          <w:bCs/>
          <w:color w:val="000000"/>
          <w:sz w:val="24"/>
          <w:highlight w:val="none"/>
        </w:rPr>
        <w:outlineLvl w:val="3"/>
      </w:pPr>
      <w:r>
        <w:rPr>
          <w:rFonts w:hint="eastAsia" w:ascii="宋体" w:hAnsi="宋体" w:cs="宋体"/>
          <w:b/>
          <w:bCs/>
          <w:sz w:val="24"/>
          <w:highlight w:val="none"/>
        </w:rPr>
        <w:t xml:space="preserve">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（九）电子招标投标交易平台</w:t>
      </w:r>
      <w:r/>
    </w:p>
    <w:p>
      <w:pPr>
        <w:ind w:firstLine="480"/>
        <w:jc w:val="left"/>
        <w:spacing w:line="360" w:lineRule="auto"/>
        <w:rPr>
          <w:rFonts w:hint="eastAsia" w:ascii="宋体" w:hAnsi="宋体" w:cs="宋体"/>
          <w:color w:val="000000"/>
          <w:sz w:val="24"/>
          <w:highlight w:val="none"/>
          <w:lang w:eastAsia="en-US"/>
        </w:rPr>
      </w:pPr>
      <w:r>
        <w:rPr>
          <w:rFonts w:hint="eastAsia" w:ascii="宋体" w:hAnsi="宋体" w:cs="宋体"/>
          <w:color w:val="000000"/>
          <w:sz w:val="24"/>
          <w:highlight w:val="none"/>
          <w:lang w:eastAsia="en-US"/>
        </w:rPr>
        <w:t xml:space="preserve">电子招标投标交易平台</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en-US"/>
        </w:rPr>
        <w:t xml:space="preserve">即“苏采云”系统，网址：</w:t>
      </w:r>
      <w:r>
        <w:rPr>
          <w:highlight w:val="none"/>
        </w:rPr>
        <w:fldChar w:fldCharType="begin"/>
      </w:r>
      <w:r>
        <w:rPr>
          <w:highlight w:val="none"/>
        </w:rPr>
        <w:instrText xml:space="preserve"> HYPERLINK "http://jszfcg.jsczt.cn/）相关要求是本采购文件的组成部分。" </w:instrText>
      </w:r>
      <w:r>
        <w:rPr>
          <w:highlight w:val="none"/>
        </w:rPr>
        <w:fldChar w:fldCharType="separate"/>
      </w:r>
      <w:r>
        <w:rPr>
          <w:rFonts w:hint="eastAsia" w:ascii="宋体" w:hAnsi="宋体" w:cs="宋体"/>
          <w:color w:val="000000"/>
          <w:sz w:val="24"/>
          <w:highlight w:val="none"/>
          <w:lang w:eastAsia="en-US"/>
        </w:rPr>
        <w:t xml:space="preserve">http://jszfcg.jsczt.cn/</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en-US"/>
        </w:rPr>
        <w:t xml:space="preserve">相关要求是本采购文件的组成部分。</w:t>
      </w:r>
      <w:r>
        <w:rPr>
          <w:rFonts w:hint="eastAsia" w:ascii="宋体" w:hAnsi="宋体" w:cs="宋体"/>
          <w:color w:val="000000"/>
          <w:sz w:val="24"/>
          <w:highlight w:val="none"/>
          <w:lang w:eastAsia="en-US"/>
        </w:rPr>
        <w:fldChar w:fldCharType="end"/>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（十）未尽事宜</w:t>
      </w:r>
      <w:r/>
    </w:p>
    <w:p>
      <w:pPr>
        <w:ind w:firstLine="480"/>
        <w:jc w:val="left"/>
        <w:spacing w:line="360" w:lineRule="auto"/>
        <w:rPr>
          <w:rFonts w:hint="eastAsia" w:ascii="宋体" w:hAnsi="宋体" w:cs="宋体"/>
          <w:b/>
          <w:color w:val="000000"/>
          <w:sz w:val="36"/>
          <w:szCs w:val="36"/>
          <w:highlight w:val="none"/>
        </w:rPr>
        <w:outlineLvl w:val="0"/>
      </w:pPr>
      <w:r>
        <w:rPr>
          <w:rFonts w:hint="eastAsia" w:ascii="宋体" w:hAnsi="宋体" w:cs="宋体"/>
          <w:color w:val="000000"/>
          <w:sz w:val="24"/>
          <w:highlight w:val="none"/>
        </w:rPr>
        <w:t xml:space="preserve">按《中华人民共和国政府采购法》、</w:t>
      </w:r>
      <w:r>
        <w:rPr>
          <w:rFonts w:hint="eastAsia" w:ascii="宋体" w:hAnsi="宋体" w:cs="宋体"/>
          <w:sz w:val="24"/>
          <w:highlight w:val="none"/>
        </w:rPr>
        <w:t xml:space="preserve">《政府采购竞争性磋商采购方式管理暂行办法》</w:t>
      </w:r>
      <w:r>
        <w:rPr>
          <w:rFonts w:hint="eastAsia" w:ascii="宋体" w:hAnsi="宋体" w:cs="宋体"/>
          <w:color w:val="000000"/>
          <w:sz w:val="24"/>
          <w:highlight w:val="none"/>
        </w:rPr>
        <w:t xml:space="preserve">及其他有关法律法规的规定执行。</w:t>
      </w:r>
      <w:r/>
    </w:p>
    <w:p>
      <w:pPr>
        <w:jc w:val="center"/>
        <w:spacing w:line="500" w:lineRule="exact"/>
        <w:rPr>
          <w:rFonts w:hint="eastAsia" w:ascii="宋体" w:hAnsi="宋体" w:cs="宋体"/>
          <w:b/>
          <w:bCs/>
          <w:color w:val="000000"/>
          <w:sz w:val="36"/>
          <w:szCs w:val="36"/>
          <w:highlight w:val="none"/>
          <w:lang w:val="zh-CN"/>
        </w:rPr>
        <w:outlineLvl w:val="0"/>
      </w:pPr>
      <w:r>
        <w:rPr>
          <w:rFonts w:hint="eastAsia" w:ascii="宋体" w:hAnsi="宋体" w:cs="宋体"/>
          <w:bCs/>
          <w:color w:val="000000"/>
          <w:sz w:val="36"/>
          <w:szCs w:val="36"/>
          <w:highlight w:val="none"/>
        </w:rPr>
        <w:br w:type="page" w:clear="all"/>
      </w:r>
      <w:r>
        <w:rPr>
          <w:rFonts w:hint="eastAsia" w:ascii="宋体" w:hAnsi="宋体" w:cs="宋体"/>
          <w:b/>
          <w:bCs/>
          <w:color w:val="000000"/>
          <w:sz w:val="36"/>
          <w:szCs w:val="36"/>
          <w:highlight w:val="none"/>
          <w:lang w:val="zh-CN"/>
        </w:rPr>
        <w:t xml:space="preserve">第三部分  项目需求</w:t>
      </w:r>
      <w:r/>
    </w:p>
    <w:p>
      <w:pPr>
        <w:ind w:firstLine="562"/>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562"/>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供应商不能简单照搬照抄磋商文件项目需求说明中的技术、商务要求，必须作实事求是的响应。如供应商提供的货物和服务同采购单位提出的项目需求说明中的技术、商务要求不同的，必须在《商务部分正负偏离表》和《技术部分正负偏离表》上明示。</w:t>
      </w:r>
      <w:r/>
    </w:p>
    <w:p>
      <w:pPr>
        <w:ind w:firstLine="482"/>
        <w:spacing w:line="4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（一）采购标的需实现的功能或者目标, 以及为落实政府采购政策需满足的要求</w:t>
      </w:r>
      <w:r/>
    </w:p>
    <w:p>
      <w:pPr>
        <w:ind w:firstLine="422"/>
        <w:spacing w:line="360" w:lineRule="auto"/>
        <w:rPr>
          <w:rFonts w:hint="eastAsia" w:ascii="宋体" w:hAnsi="宋体" w:cs="宋体"/>
          <w:sz w:val="24"/>
          <w:szCs w:val="24"/>
          <w:highlight w:val="none"/>
          <w:lang w:eastAsia="zh-CN"/>
        </w:rPr>
      </w:pPr>
      <w:r>
        <w:rPr>
          <w:rFonts w:hint="eastAsia" w:ascii="宋体" w:hAnsi="宋体" w:cs="宋体"/>
          <w:color w:val="000000"/>
          <w:sz w:val="24"/>
          <w:highlight w:val="none"/>
        </w:rPr>
        <w:t xml:space="preserve">本工程为</w:t>
      </w:r>
      <w:r>
        <w:rPr>
          <w:rFonts w:hint="eastAsia" w:ascii="宋体" w:hAnsi="宋体" w:cs="宋体"/>
          <w:color w:val="000000"/>
          <w:sz w:val="24"/>
          <w:highlight w:val="none"/>
          <w:lang w:eastAsia="zh-CN"/>
        </w:rPr>
        <w:t xml:space="preserve">南通市妇幼保健院口腔科扩建工程</w:t>
      </w:r>
      <w:r>
        <w:rPr>
          <w:rFonts w:hint="eastAsia" w:ascii="宋体" w:hAnsi="宋体" w:cs="宋体"/>
          <w:color w:val="000000"/>
          <w:sz w:val="24"/>
          <w:highlight w:val="none"/>
        </w:rPr>
        <w:t xml:space="preserve">，工程地点位于</w:t>
      </w:r>
      <w:r>
        <w:rPr>
          <w:rFonts w:hint="eastAsia" w:ascii="宋体" w:hAnsi="宋体" w:cs="宋体"/>
          <w:sz w:val="24"/>
          <w:highlight w:val="none"/>
        </w:rPr>
        <w:t xml:space="preserve">南通市</w:t>
      </w:r>
      <w:r>
        <w:rPr>
          <w:rFonts w:hint="eastAsia" w:ascii="宋体" w:hAnsi="宋体" w:cs="宋体"/>
          <w:sz w:val="24"/>
          <w:highlight w:val="none"/>
          <w:lang w:eastAsia="zh-CN"/>
        </w:rPr>
        <w:t xml:space="preserve">妇幼保健院内</w:t>
      </w:r>
      <w:r>
        <w:rPr>
          <w:rFonts w:hint="eastAsia" w:ascii="宋体" w:hAnsi="宋体" w:cs="宋体"/>
          <w:sz w:val="24"/>
          <w:highlight w:val="none"/>
          <w:lang w:val="en-US" w:eastAsia="zh-CN"/>
        </w:rPr>
        <w:t xml:space="preserve">1号楼</w:t>
      </w:r>
      <w:r>
        <w:rPr>
          <w:rFonts w:hint="eastAsia" w:ascii="宋体" w:hAnsi="宋体" w:cs="宋体"/>
          <w:sz w:val="24"/>
          <w:highlight w:val="none"/>
        </w:rPr>
        <w:t xml:space="preserve">,</w:t>
      </w:r>
      <w:r>
        <w:rPr>
          <w:rFonts w:hint="eastAsia" w:ascii="宋体" w:hAnsi="宋体" w:eastAsia="宋体" w:cs="宋体"/>
          <w:sz w:val="24"/>
          <w:szCs w:val="24"/>
          <w:highlight w:val="none"/>
          <w:lang w:eastAsia="zh-CN"/>
        </w:rPr>
        <w:t xml:space="preserve">施工内容</w:t>
      </w:r>
      <w:r>
        <w:rPr>
          <w:rFonts w:hint="eastAsia" w:ascii="宋体" w:hAnsi="宋体" w:eastAsia="宋体" w:cs="宋体"/>
          <w:sz w:val="24"/>
          <w:szCs w:val="24"/>
          <w:highlight w:val="none"/>
          <w:lang w:eastAsia="zh-CN"/>
        </w:rPr>
        <w:t xml:space="preserve">包含</w:t>
      </w:r>
      <w:r>
        <w:rPr>
          <w:rFonts w:hint="eastAsia" w:ascii="宋体" w:hAnsi="宋体"/>
          <w:sz w:val="24"/>
          <w:szCs w:val="24"/>
          <w:highlight w:val="none"/>
          <w:lang w:eastAsia="zh-CN"/>
        </w:rPr>
        <w:t xml:space="preserve">南通市妇</w:t>
      </w:r>
      <w:r>
        <w:rPr>
          <w:rFonts w:hint="eastAsia" w:ascii="宋体" w:hAnsi="宋体"/>
          <w:sz w:val="24"/>
          <w:szCs w:val="24"/>
          <w:highlight w:val="none"/>
          <w:lang w:eastAsia="zh-CN"/>
        </w:rPr>
        <w:t xml:space="preserve">幼保健院</w:t>
      </w:r>
      <w:r>
        <w:rPr>
          <w:rFonts w:hint="eastAsia" w:ascii="宋体" w:hAnsi="宋体" w:cs="宋体"/>
          <w:sz w:val="24"/>
          <w:szCs w:val="24"/>
          <w:highlight w:val="none"/>
          <w:lang w:eastAsia="zh-CN"/>
        </w:rPr>
        <w:t xml:space="preserve">口腔科专供抽吸</w:t>
      </w:r>
      <w:r>
        <w:rPr>
          <w:rFonts w:hint="eastAsia" w:ascii="宋体" w:hAnsi="宋体" w:eastAsia="宋体" w:cs="宋体"/>
          <w:sz w:val="24"/>
          <w:szCs w:val="24"/>
          <w:highlight w:val="none"/>
          <w:lang w:eastAsia="zh-CN"/>
        </w:rPr>
        <w:t xml:space="preserve">系统、</w:t>
      </w:r>
      <w:r>
        <w:rPr>
          <w:rFonts w:hint="eastAsia" w:ascii="宋体" w:hAnsi="宋体" w:cs="宋体"/>
          <w:sz w:val="24"/>
          <w:szCs w:val="24"/>
          <w:highlight w:val="none"/>
          <w:lang w:eastAsia="zh-CN"/>
        </w:rPr>
        <w:t xml:space="preserve">压缩空气系统</w:t>
      </w:r>
      <w:r>
        <w:rPr>
          <w:rFonts w:hint="eastAsia" w:ascii="宋体" w:hAnsi="宋体" w:eastAsia="宋体" w:cs="宋体"/>
          <w:sz w:val="24"/>
          <w:szCs w:val="24"/>
          <w:highlight w:val="none"/>
          <w:lang w:eastAsia="zh-CN"/>
        </w:rPr>
        <w:t xml:space="preserve">及配套设</w:t>
      </w:r>
      <w:r>
        <w:rPr>
          <w:rFonts w:hint="eastAsia" w:ascii="宋体" w:hAnsi="宋体" w:cs="宋体"/>
          <w:sz w:val="24"/>
          <w:szCs w:val="24"/>
          <w:highlight w:val="none"/>
          <w:lang w:eastAsia="zh-CN"/>
        </w:rPr>
        <w:t xml:space="preserve">施</w:t>
      </w:r>
      <w:r>
        <w:rPr>
          <w:rFonts w:hint="eastAsia" w:ascii="宋体" w:hAnsi="宋体" w:eastAsia="宋体" w:cs="宋体"/>
          <w:sz w:val="24"/>
          <w:szCs w:val="24"/>
          <w:highlight w:val="none"/>
          <w:lang w:val="en-US" w:eastAsia="zh-CN"/>
        </w:rPr>
        <w:t xml:space="preserve">、装饰拆改</w:t>
      </w:r>
      <w:r>
        <w:rPr>
          <w:rFonts w:hint="eastAsia" w:ascii="宋体" w:hAnsi="宋体" w:cs="宋体"/>
          <w:sz w:val="24"/>
          <w:szCs w:val="24"/>
          <w:highlight w:val="none"/>
          <w:lang w:val="en-US" w:eastAsia="zh-CN"/>
        </w:rPr>
        <w:t xml:space="preserve">、水电及弱电改造</w:t>
      </w:r>
      <w:r>
        <w:rPr>
          <w:rFonts w:hint="eastAsia" w:ascii="宋体" w:hAnsi="宋体" w:eastAsia="宋体" w:cs="宋体"/>
          <w:sz w:val="24"/>
          <w:szCs w:val="24"/>
          <w:highlight w:val="none"/>
          <w:lang w:val="en-US" w:eastAsia="zh-CN"/>
        </w:rPr>
        <w:t xml:space="preserve">等。具</w:t>
      </w:r>
      <w:r>
        <w:rPr>
          <w:rFonts w:hint="eastAsia" w:ascii="宋体" w:hAnsi="宋体" w:cs="宋体"/>
          <w:sz w:val="24"/>
          <w:szCs w:val="24"/>
          <w:highlight w:val="none"/>
          <w:lang w:val="en-US" w:eastAsia="zh-CN"/>
        </w:rPr>
        <w:t xml:space="preserve">体有：</w:t>
      </w:r>
      <w:r/>
    </w:p>
    <w:p>
      <w:pPr>
        <w:ind w:firstLine="422"/>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口腔科专供抽吸系统：牙科抽吸机、气体管路、阀门等设备组件；</w:t>
      </w:r>
      <w:r/>
    </w:p>
    <w:p>
      <w:pPr>
        <w:ind w:firstLine="422"/>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2、口腔科专供压缩空气系统：包括空气压缩机、吸附式干燥机、过滤器、空气储罐、分气缸、气体管路、阀门等；</w:t>
      </w:r>
      <w:r/>
    </w:p>
    <w:p>
      <w:pPr>
        <w:ind w:firstLine="422"/>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3、口腔科迁至原儿外科诊室，新增专用医疗家具（本次只计东边四间），水池利用原有水池柜，原诊室9已有部分医疗家具可以利旧。儿外科迁至3楼，需增加一套处置柜。</w:t>
      </w:r>
      <w:r/>
    </w:p>
    <w:p>
      <w:pPr>
        <w:ind w:firstLine="422"/>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4、装修、配套水电、弱电改造，满足使用需求，气体需进行检测合格。</w:t>
      </w:r>
      <w:r/>
    </w:p>
    <w:p>
      <w:pPr>
        <w:ind w:firstLine="422"/>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具体详见采购文件、施工图纸及工程量清单。</w:t>
      </w:r>
      <w:r/>
    </w:p>
    <w:p>
      <w:pPr>
        <w:ind w:firstLine="562"/>
        <w:spacing w:line="460" w:lineRule="exact"/>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（二）采购标的需执行的国家相关标准、行业标准、地方标准或者其他标准、规范</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按国家现行相关法律法规和行业标准执行。</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1、工程采用的计价规范</w:t>
      </w:r>
      <w:r/>
    </w:p>
    <w:p>
      <w:pPr>
        <w:ind w:firstLine="56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1.1 《建筑工程工程量清单计价规范》（GB50500-201</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《通用安装工程工程量清单计价规范》（GB50856-2013）；</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 《江苏省建设工程工程量清单计价项目指引》（2014年） ；</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《江苏省建筑与装饰工程计价定额》（2014年）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《江苏省</w:t>
      </w:r>
      <w:r>
        <w:rPr>
          <w:rFonts w:hint="eastAsia" w:ascii="宋体" w:hAnsi="宋体" w:cs="宋体"/>
          <w:color w:val="000000"/>
          <w:sz w:val="24"/>
          <w:highlight w:val="none"/>
          <w:lang w:eastAsia="zh-CN"/>
        </w:rPr>
        <w:t xml:space="preserve">安装</w:t>
      </w:r>
      <w:r>
        <w:rPr>
          <w:rFonts w:hint="eastAsia" w:ascii="宋体" w:hAnsi="宋体" w:cs="宋体"/>
          <w:color w:val="000000"/>
          <w:sz w:val="24"/>
          <w:highlight w:val="none"/>
        </w:rPr>
        <w:t xml:space="preserve">工程计价定额》（2014年）；</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江苏省建设工程费用定额》（2014年）、《省住房和城乡建设厅关于建筑业实施营改增后江苏省建设工程计价依据调整的通知》（苏建价[2016]154号文）、《省住房城乡建设厅关于调整建设工程按质论价等费用计取方法的公告》（[2018]第24号）、《省住房城乡建设厅关于调整建设工程计价增值税税率的通知》 （苏建函价〔2019〕178号）；</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 相应的补充规定和南通市现行的有关文件。</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2、本工程采用的技术规范</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 《建筑工程项目管理规范》GB/T50326-2017</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 《建筑安装工程施工质量统一验收标准》GB50300-2013</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 《建筑地面工程施工质量验收规范》GB50209-2010</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 《建筑给水排水及采暖工程施工质量验收规范》GB50242-2021 </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 《建筑边坡工程技术规范》GB50330-2013</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 《钢筋焊接及验收规程》JGJ18-2012</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 《建筑玻璃应用技术规程》JGJ113-2015</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 《建筑工程冬期施工规程》JGJ104-2011</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 《建筑装饰装修工程施工质量验收规范》GB50210-2018</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2.10 《建筑地基基础工程施工质量验收规范》GB50202-2018</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 《砌体工程施工质量验收规范》 GB50203-2011</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 《多孔砖砌体结构技术规范》JGJ137-2001</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 《混凝土结构工程施工质量验收规范》GB50204-2015</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 《屋面工程施工质量验收规范》 GB50207-2012</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2.15 《地下防水工程质量验收规范》GB50208-2011</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 《通风与空调工程施工质量验收规范》 GB50243-2016</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2.17 《建筑电气工程质量验收规范》GB50303-2015</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2.18 《火灾自动报警系统施工及验收规范》GB50166-2019</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2.19 《建筑与建筑群综合布线系统工程验收规范》GB/T50312-2016</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2.20 《地下工程防水技术规范》GB50108-2011</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 《民用建筑工程室内环境污染控制规范》GB50325-2020 </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 《建筑施工安全检查标准》JGJ59-2021</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2.23 《施工现场临时用电安全技术规范》JGJ146-2013</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2.24 《建筑机械使用安全技术规程》JGJ33-2012</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2.25 《建筑施工高处作业安全技术规范》JGJ80-2016</w:t>
      </w:r>
      <w:r/>
    </w:p>
    <w:p>
      <w:pPr>
        <w:ind w:firstLine="56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2.26 《建设工程文件归档整理规范》</w:t>
      </w:r>
      <w:r>
        <w:rPr>
          <w:rFonts w:hint="eastAsia" w:ascii="宋体" w:hAnsi="宋体" w:eastAsia="宋体" w:cs="宋体"/>
          <w:color w:val="000000"/>
          <w:sz w:val="24"/>
          <w:highlight w:val="none"/>
        </w:rPr>
        <w:t xml:space="preserve">GB50328-2019</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2.27 《医用气体工程技术规范》 GB 50751-2012 </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2.28</w:t>
      </w:r>
      <w:r>
        <w:rPr>
          <w:rFonts w:hint="eastAsia" w:ascii="宋体" w:hAnsi="宋体" w:eastAsia="宋体" w:cs="宋体"/>
          <w:color w:val="000000"/>
          <w:sz w:val="24"/>
          <w:highlight w:val="none"/>
        </w:rPr>
        <w:t xml:space="preserve"> 《压缩空气站设计规范》GB 50029-2014</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2.29</w:t>
      </w:r>
      <w:r>
        <w:rPr>
          <w:rFonts w:hint="eastAsia" w:ascii="宋体" w:hAnsi="宋体" w:eastAsia="宋体" w:cs="宋体"/>
          <w:color w:val="000000"/>
          <w:sz w:val="24"/>
          <w:highlight w:val="none"/>
        </w:rPr>
        <w:t xml:space="preserve"> 《现场设备、工业管道焊接工程施工质量验收规范》GB 50683-2011</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2.30 </w:t>
      </w:r>
      <w:r>
        <w:rPr>
          <w:rFonts w:hint="eastAsia" w:ascii="宋体" w:hAnsi="宋体" w:eastAsia="宋体" w:cs="宋体"/>
          <w:color w:val="000000"/>
          <w:sz w:val="24"/>
          <w:highlight w:val="none"/>
        </w:rPr>
        <w:t xml:space="preserve">《医用电气设备第1部分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基本安全和基本性能的通用要求》GB 9706.1-2020</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2.31 </w:t>
      </w:r>
      <w:r>
        <w:rPr>
          <w:rFonts w:hint="eastAsia" w:ascii="宋体" w:hAnsi="宋体" w:eastAsia="宋体" w:cs="宋体"/>
          <w:color w:val="000000"/>
          <w:sz w:val="24"/>
          <w:highlight w:val="none"/>
        </w:rPr>
        <w:t xml:space="preserve">《流体输送用不锈钢无缝钢管》</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GB/T 14976-2012</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2.32 </w:t>
      </w:r>
      <w:r>
        <w:rPr>
          <w:rFonts w:hint="eastAsia" w:ascii="宋体" w:hAnsi="宋体" w:eastAsia="宋体" w:cs="宋体"/>
          <w:color w:val="000000"/>
          <w:sz w:val="24"/>
          <w:highlight w:val="none"/>
        </w:rPr>
        <w:t xml:space="preserve">《压力管道规范工业管道》GB/T 20801.1～GB/T 20801.6-2020</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2.33 </w:t>
      </w:r>
      <w:r>
        <w:rPr>
          <w:rFonts w:hint="eastAsia" w:ascii="宋体" w:hAnsi="宋体" w:eastAsia="宋体" w:cs="宋体"/>
          <w:color w:val="000000"/>
          <w:sz w:val="24"/>
          <w:highlight w:val="none"/>
        </w:rPr>
        <w:t xml:space="preserve">《医用气体和真空用无缝铜管》YS/T650-2020  </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2.34 </w:t>
      </w:r>
      <w:r>
        <w:rPr>
          <w:rFonts w:hint="eastAsia" w:ascii="宋体" w:hAnsi="宋体" w:eastAsia="宋体" w:cs="宋体"/>
          <w:color w:val="000000"/>
          <w:sz w:val="24"/>
          <w:highlight w:val="none"/>
        </w:rPr>
        <w:t xml:space="preserve">《建筑设计防火规范》GB50016-2018</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2.35 </w:t>
      </w:r>
      <w:r>
        <w:rPr>
          <w:rFonts w:hint="eastAsia" w:ascii="宋体" w:hAnsi="宋体" w:eastAsia="宋体" w:cs="宋体"/>
          <w:color w:val="000000"/>
          <w:sz w:val="24"/>
          <w:highlight w:val="none"/>
        </w:rPr>
        <w:t xml:space="preserve">《工业金属管道工程施工规范》GB50235-2010</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2.36 </w:t>
      </w:r>
      <w:r>
        <w:rPr>
          <w:rFonts w:hint="eastAsia" w:ascii="宋体" w:hAnsi="宋体" w:eastAsia="宋体" w:cs="宋体"/>
          <w:color w:val="000000"/>
          <w:sz w:val="24"/>
          <w:highlight w:val="none"/>
        </w:rPr>
        <w:t xml:space="preserve">《现场设备、工业管道焊接工程施工规范》GB50236—2011</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2.37 </w:t>
      </w:r>
      <w:r>
        <w:rPr>
          <w:rFonts w:hint="eastAsia" w:ascii="宋体" w:hAnsi="宋体" w:eastAsia="宋体" w:cs="宋体"/>
          <w:color w:val="000000"/>
          <w:sz w:val="24"/>
          <w:highlight w:val="none"/>
        </w:rPr>
        <w:t xml:space="preserve">《工业金属管道工程施工质量验收规范》</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GB50184-2011</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2.38 </w:t>
      </w:r>
      <w:r>
        <w:rPr>
          <w:rFonts w:hint="eastAsia" w:ascii="宋体" w:hAnsi="宋体" w:eastAsia="宋体" w:cs="宋体"/>
          <w:color w:val="000000"/>
          <w:sz w:val="24"/>
          <w:highlight w:val="none"/>
        </w:rPr>
        <w:t xml:space="preserve">《安全阀一般要求》GB12241-2005</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2.39 </w:t>
      </w:r>
      <w:r>
        <w:rPr>
          <w:rFonts w:hint="eastAsia" w:ascii="宋体" w:hAnsi="宋体" w:cs="宋体"/>
          <w:color w:val="000000"/>
          <w:sz w:val="24"/>
          <w:highlight w:val="none"/>
        </w:rPr>
        <w:t xml:space="preserve">国家、地方、行业现行的建设工程强制性条文、其他规范和标准</w:t>
      </w:r>
      <w:r/>
    </w:p>
    <w:p>
      <w:pPr>
        <w:ind w:firstLine="56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40</w:t>
      </w:r>
      <w:r>
        <w:rPr>
          <w:rFonts w:hint="eastAsia" w:ascii="宋体" w:hAnsi="宋体" w:cs="宋体"/>
          <w:color w:val="000000"/>
          <w:sz w:val="24"/>
          <w:highlight w:val="none"/>
        </w:rPr>
        <w:t xml:space="preserve"> 国家、地方、行业现行的有关材料、设备的规范</w:t>
      </w:r>
      <w:r>
        <w:rPr>
          <w:rFonts w:hint="eastAsia" w:ascii="宋体" w:hAnsi="宋体" w:eastAsia="宋体" w:cs="宋体"/>
          <w:color w:val="000000"/>
          <w:sz w:val="24"/>
          <w:highlight w:val="none"/>
        </w:rPr>
        <w:t xml:space="preserve">和标准</w:t>
      </w:r>
      <w:r/>
    </w:p>
    <w:p>
      <w:pPr>
        <w:ind w:firstLine="560"/>
        <w:spacing w:line="46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2.41 </w:t>
      </w:r>
      <w:r>
        <w:rPr>
          <w:rFonts w:hint="eastAsia" w:ascii="宋体" w:hAnsi="宋体" w:eastAsia="宋体" w:cs="宋体"/>
          <w:color w:val="000000"/>
          <w:sz w:val="24"/>
          <w:highlight w:val="none"/>
        </w:rPr>
        <w:t xml:space="preserve">甲方提供的建筑平面图以及设计要求</w:t>
      </w:r>
      <w:r/>
    </w:p>
    <w:p>
      <w:pPr>
        <w:ind w:firstLine="56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上述技术标准和规范如有不足之处或未能达到国际最新标准时，</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应使系统的设计、施工及选用的设备/材料符合最新版本的国际和国家标准、</w:t>
      </w:r>
      <w:r>
        <w:rPr>
          <w:rFonts w:hint="eastAsia" w:ascii="宋体" w:hAnsi="宋体" w:eastAsia="宋体" w:cs="宋体"/>
          <w:color w:val="000000"/>
          <w:sz w:val="24"/>
          <w:highlight w:val="none"/>
        </w:rPr>
        <w:t xml:space="preserve">规范，并提供所采用的国际和国家标准、规范及所采用版本的有关技术资料。</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w:t>
      </w:r>
      <w:r>
        <w:rPr>
          <w:rFonts w:hint="eastAsia" w:ascii="宋体" w:hAnsi="宋体" w:eastAsia="宋体" w:cs="宋体"/>
          <w:color w:val="000000"/>
          <w:sz w:val="24"/>
          <w:highlight w:val="none"/>
          <w:lang w:eastAsia="zh-CN"/>
        </w:rPr>
        <w:t xml:space="preserve">在合同履行过程中</w:t>
      </w:r>
      <w:r>
        <w:rPr>
          <w:rFonts w:hint="eastAsia" w:ascii="宋体" w:hAnsi="宋体" w:eastAsia="宋体" w:cs="宋体"/>
          <w:color w:val="000000"/>
          <w:sz w:val="24"/>
          <w:highlight w:val="none"/>
        </w:rPr>
        <w:t xml:space="preserve">有最新版本的技术规范，以最新</w:t>
      </w:r>
      <w:r>
        <w:rPr>
          <w:rFonts w:hint="eastAsia" w:ascii="宋体" w:hAnsi="宋体" w:eastAsia="宋体" w:cs="宋体"/>
          <w:color w:val="000000"/>
          <w:sz w:val="24"/>
          <w:highlight w:val="none"/>
          <w:lang w:eastAsia="zh-CN"/>
        </w:rPr>
        <w:t xml:space="preserve">发布的</w:t>
      </w:r>
      <w:r>
        <w:rPr>
          <w:rFonts w:hint="eastAsia" w:ascii="宋体" w:hAnsi="宋体" w:eastAsia="宋体" w:cs="宋体"/>
          <w:color w:val="000000"/>
          <w:sz w:val="24"/>
          <w:highlight w:val="none"/>
        </w:rPr>
        <w:t xml:space="preserve">为准。</w:t>
      </w:r>
      <w:r/>
    </w:p>
    <w:p>
      <w:pPr>
        <w:ind w:firstLine="562"/>
        <w:spacing w:line="460" w:lineRule="exact"/>
        <w:tabs>
          <w:tab w:val="left" w:pos="0" w:leader="none"/>
          <w:tab w:val="left" w:pos="68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3、本工程对施工工艺的特殊要求</w:t>
      </w:r>
      <w:r/>
    </w:p>
    <w:p>
      <w:pPr>
        <w:ind w:firstLine="562"/>
        <w:spacing w:line="46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 施工期间要注意周边环境，尽量避免或减少对周围居民生活的影响。</w:t>
      </w:r>
      <w:r/>
    </w:p>
    <w:p>
      <w:pPr>
        <w:ind w:firstLine="562"/>
        <w:spacing w:line="46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冬、雨季施工要采取相应的保证措施。</w:t>
      </w:r>
      <w:r/>
    </w:p>
    <w:p>
      <w:pPr>
        <w:ind w:firstLine="562"/>
        <w:spacing w:line="46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 工程的主要部位和特殊要求由建设、设计、监理三方讨论后以书面形式通知施工单位实施。</w:t>
      </w:r>
      <w:r/>
    </w:p>
    <w:p>
      <w:pPr>
        <w:ind w:firstLine="562"/>
        <w:spacing w:line="460" w:lineRule="exact"/>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（三）采购标的需满足的质量、安全、技术规格、物理特性等要求</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1、响应报价的范围</w:t>
      </w:r>
      <w:r/>
    </w:p>
    <w:p>
      <w:pPr>
        <w:ind w:firstLine="56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.1 </w:t>
      </w:r>
      <w:r>
        <w:rPr>
          <w:rFonts w:hint="eastAsia" w:ascii="宋体" w:hAnsi="宋体" w:eastAsia="宋体" w:cs="宋体"/>
          <w:color w:val="000000"/>
          <w:sz w:val="24"/>
          <w:highlight w:val="none"/>
        </w:rPr>
        <w:t xml:space="preserve">深化设计费</w:t>
      </w:r>
      <w:r>
        <w:rPr>
          <w:rFonts w:hint="eastAsia" w:ascii="宋体" w:hAnsi="宋体" w:eastAsia="宋体" w:cs="宋体"/>
          <w:color w:val="000000"/>
          <w:sz w:val="24"/>
          <w:highlight w:val="none"/>
          <w:lang w:eastAsia="zh-CN"/>
        </w:rPr>
        <w:t xml:space="preserve">（如有）。</w:t>
      </w:r>
      <w:r/>
    </w:p>
    <w:p>
      <w:pPr>
        <w:ind w:firstLine="56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1.2 </w:t>
      </w:r>
      <w:r>
        <w:rPr>
          <w:rFonts w:hint="eastAsia" w:ascii="宋体" w:hAnsi="宋体" w:eastAsia="宋体" w:cs="宋体"/>
          <w:color w:val="000000"/>
          <w:sz w:val="24"/>
          <w:highlight w:val="none"/>
        </w:rPr>
        <w:t xml:space="preserve">设备</w:t>
      </w:r>
      <w:r>
        <w:rPr>
          <w:rFonts w:hint="eastAsia" w:ascii="宋体" w:hAnsi="宋体" w:eastAsia="宋体" w:cs="宋体"/>
          <w:color w:val="000000"/>
          <w:sz w:val="24"/>
          <w:highlight w:val="none"/>
          <w:lang w:eastAsia="zh-CN"/>
        </w:rPr>
        <w:t xml:space="preserve">材料</w:t>
      </w:r>
      <w:r>
        <w:rPr>
          <w:rFonts w:hint="eastAsia" w:ascii="宋体" w:hAnsi="宋体" w:eastAsia="宋体" w:cs="宋体"/>
          <w:color w:val="000000"/>
          <w:sz w:val="24"/>
          <w:highlight w:val="none"/>
        </w:rPr>
        <w:t xml:space="preserve">费，包括：设备的制造成本、</w:t>
      </w:r>
      <w:r>
        <w:rPr>
          <w:rFonts w:hint="eastAsia" w:ascii="宋体" w:hAnsi="宋体" w:eastAsia="宋体" w:cs="宋体"/>
          <w:color w:val="000000"/>
          <w:sz w:val="24"/>
          <w:highlight w:val="none"/>
          <w:lang w:eastAsia="zh-CN"/>
        </w:rPr>
        <w:t xml:space="preserve">材料费、</w:t>
      </w:r>
      <w:r>
        <w:rPr>
          <w:rFonts w:hint="eastAsia" w:ascii="宋体" w:hAnsi="宋体" w:eastAsia="宋体" w:cs="宋体"/>
          <w:color w:val="000000"/>
          <w:sz w:val="24"/>
          <w:highlight w:val="none"/>
        </w:rPr>
        <w:t xml:space="preserve">开办费、技术措施费、机械进出场费、市场材料价格风险费、政策性调整风险费；设备的主材及标准附件、备品备件、专用工具、技术资料、损耗等费用；设备运至最终目的地的包装费、运输费、装卸费、保险费、现场设备材料保管费；设备的检验费、培训费、技术服务等费用；取得相关检验部门检查验收并出具权威验收报告以及为完成本项目而发生的其它所有措施等全部费用。</w:t>
      </w:r>
      <w:r/>
    </w:p>
    <w:p>
      <w:pPr>
        <w:ind w:firstLine="56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1.3 </w:t>
      </w:r>
      <w:r>
        <w:rPr>
          <w:rFonts w:hint="eastAsia" w:ascii="宋体" w:hAnsi="宋体" w:eastAsia="宋体" w:cs="宋体"/>
          <w:color w:val="000000"/>
          <w:sz w:val="24"/>
          <w:highlight w:val="none"/>
          <w:lang w:eastAsia="zh-CN"/>
        </w:rPr>
        <w:t xml:space="preserve">施工</w:t>
      </w:r>
      <w:r>
        <w:rPr>
          <w:rFonts w:hint="eastAsia" w:ascii="宋体" w:hAnsi="宋体" w:eastAsia="宋体" w:cs="宋体"/>
          <w:color w:val="000000"/>
          <w:sz w:val="24"/>
          <w:highlight w:val="none"/>
        </w:rPr>
        <w:t xml:space="preserve">安装费，包括：</w:t>
      </w:r>
      <w:r>
        <w:rPr>
          <w:rFonts w:hint="eastAsia" w:ascii="宋体" w:hAnsi="宋体" w:eastAsia="宋体" w:cs="宋体"/>
          <w:color w:val="000000"/>
          <w:sz w:val="24"/>
          <w:highlight w:val="none"/>
          <w:lang w:eastAsia="zh-CN"/>
        </w:rPr>
        <w:t xml:space="preserve">装修费、</w:t>
      </w:r>
      <w:r>
        <w:rPr>
          <w:rFonts w:hint="eastAsia" w:ascii="宋体" w:hAnsi="宋体" w:eastAsia="宋体" w:cs="宋体"/>
          <w:color w:val="000000"/>
          <w:sz w:val="24"/>
          <w:highlight w:val="none"/>
        </w:rPr>
        <w:t xml:space="preserve">墙体砌筑(为满足气体系统安装所引起的土建部分的墙体、楼板开孔开洞及墙体、楼板封堵、整改等)、楼板开孔、开洞及封堵费、现场预留洞口为满足设备安装所需的全部调整与修补的全部费用、安装调试费、搬运（包括吊装）、垂直运输费、脚手架费、检验费、监检费</w:t>
      </w:r>
      <w:r>
        <w:rPr>
          <w:rFonts w:hint="eastAsia" w:ascii="宋体" w:hAnsi="宋体" w:eastAsia="宋体" w:cs="宋体"/>
          <w:color w:val="000000"/>
          <w:sz w:val="24"/>
          <w:highlight w:val="none"/>
          <w:lang w:eastAsia="zh-CN"/>
        </w:rPr>
        <w:t xml:space="preserve">等全部费用。</w:t>
      </w:r>
      <w:r/>
    </w:p>
    <w:p>
      <w:pPr>
        <w:ind w:firstLine="56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1.4 </w:t>
      </w:r>
      <w:r>
        <w:rPr>
          <w:rFonts w:hint="eastAsia" w:ascii="宋体" w:hAnsi="宋体" w:eastAsia="宋体" w:cs="宋体"/>
          <w:color w:val="000000"/>
          <w:sz w:val="24"/>
          <w:highlight w:val="none"/>
        </w:rPr>
        <w:t xml:space="preserve">特种设备验收费用（</w:t>
      </w:r>
      <w:r>
        <w:rPr>
          <w:rFonts w:hint="eastAsia" w:ascii="宋体" w:hAnsi="宋体" w:eastAsia="宋体" w:cs="宋体"/>
          <w:color w:val="000000"/>
          <w:sz w:val="24"/>
          <w:highlight w:val="none"/>
          <w:lang w:eastAsia="zh-CN"/>
        </w:rPr>
        <w:t xml:space="preserve">须</w:t>
      </w:r>
      <w:r>
        <w:rPr>
          <w:rFonts w:hint="eastAsia" w:ascii="宋体" w:hAnsi="宋体" w:eastAsia="宋体" w:cs="宋体"/>
          <w:color w:val="000000"/>
          <w:sz w:val="24"/>
          <w:highlight w:val="none"/>
        </w:rPr>
        <w:t xml:space="preserve">确保一次性验收通过）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管理费、利润、规费、税金、</w:t>
      </w:r>
      <w:r>
        <w:rPr>
          <w:rFonts w:hint="eastAsia" w:ascii="宋体" w:hAnsi="宋体" w:eastAsia="宋体" w:cs="宋体"/>
          <w:color w:val="000000"/>
          <w:sz w:val="24"/>
          <w:highlight w:val="none"/>
          <w:lang w:eastAsia="zh-CN"/>
        </w:rPr>
        <w:t xml:space="preserve">设备材料及人工</w:t>
      </w:r>
      <w:r>
        <w:rPr>
          <w:rFonts w:hint="eastAsia" w:ascii="宋体" w:hAnsi="宋体" w:eastAsia="宋体" w:cs="宋体"/>
          <w:color w:val="000000"/>
          <w:sz w:val="24"/>
          <w:highlight w:val="none"/>
        </w:rPr>
        <w:t xml:space="preserve">价格</w:t>
      </w:r>
      <w:r>
        <w:rPr>
          <w:rFonts w:hint="eastAsia" w:ascii="宋体" w:hAnsi="宋体" w:eastAsia="宋体" w:cs="宋体"/>
          <w:color w:val="000000"/>
          <w:sz w:val="24"/>
          <w:highlight w:val="none"/>
          <w:lang w:eastAsia="zh-CN"/>
        </w:rPr>
        <w:t xml:space="preserve">调整</w:t>
      </w:r>
      <w:r>
        <w:rPr>
          <w:rFonts w:hint="eastAsia" w:ascii="宋体" w:hAnsi="宋体" w:eastAsia="宋体" w:cs="宋体"/>
          <w:color w:val="000000"/>
          <w:sz w:val="24"/>
          <w:highlight w:val="none"/>
        </w:rPr>
        <w:t xml:space="preserve">风险、人员培训费用、技术服务费、性能介绍、售后服务、第三方检验试验费、免费</w:t>
      </w:r>
      <w:r>
        <w:rPr>
          <w:rFonts w:hint="eastAsia" w:ascii="宋体" w:hAnsi="宋体" w:eastAsia="宋体" w:cs="宋体"/>
          <w:color w:val="000000"/>
          <w:sz w:val="24"/>
          <w:highlight w:val="none"/>
          <w:lang w:eastAsia="zh-CN"/>
        </w:rPr>
        <w:t xml:space="preserve">质</w:t>
      </w:r>
      <w:r>
        <w:rPr>
          <w:rFonts w:hint="eastAsia" w:ascii="宋体" w:hAnsi="宋体" w:eastAsia="宋体" w:cs="宋体"/>
          <w:color w:val="000000"/>
          <w:sz w:val="24"/>
          <w:highlight w:val="none"/>
        </w:rPr>
        <w:t xml:space="preserve">保</w:t>
      </w:r>
      <w:r>
        <w:rPr>
          <w:rFonts w:hint="eastAsia" w:ascii="宋体" w:hAnsi="宋体" w:eastAsia="宋体" w:cs="宋体"/>
          <w:color w:val="000000"/>
          <w:sz w:val="24"/>
          <w:highlight w:val="none"/>
          <w:lang w:eastAsia="zh-CN"/>
        </w:rPr>
        <w:t xml:space="preserve">期内</w:t>
      </w:r>
      <w:r>
        <w:rPr>
          <w:rFonts w:hint="eastAsia" w:ascii="宋体" w:hAnsi="宋体" w:eastAsia="宋体" w:cs="宋体"/>
          <w:color w:val="000000"/>
          <w:sz w:val="24"/>
          <w:highlight w:val="none"/>
        </w:rPr>
        <w:t xml:space="preserve">各项维修保养费用及设备检验检测费等。</w:t>
      </w:r>
      <w:r/>
    </w:p>
    <w:p>
      <w:pPr>
        <w:ind w:firstLine="56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1.5 </w:t>
      </w:r>
      <w:r>
        <w:rPr>
          <w:rFonts w:hint="eastAsia" w:ascii="宋体" w:hAnsi="宋体" w:eastAsia="宋体" w:cs="宋体"/>
          <w:color w:val="000000"/>
          <w:sz w:val="24"/>
          <w:highlight w:val="none"/>
        </w:rPr>
        <w:t xml:space="preserve">根据国家、地方规范和标准、各种文件规定、质监部门要求执行的而施工图和工程量清单中未明确的施工内容，以及为按磋商文件</w:t>
      </w:r>
      <w:r>
        <w:rPr>
          <w:rFonts w:hint="eastAsia" w:ascii="宋体" w:hAnsi="宋体" w:eastAsia="宋体" w:cs="宋体"/>
          <w:color w:val="000000"/>
          <w:sz w:val="24"/>
          <w:highlight w:val="none"/>
        </w:rPr>
        <w:t xml:space="preserve">所确定的工期、质量、安全要求完成上述内容所必须的附属工程、临时工程、机械、设备、材料、存贮、运输（含二次搬运费）、劳务、安装、调试、测试、各工种间的协调配合工作、缺陷修补、维护、培训、售后服务、规费、措施费、管理、利润、税金、清洗、防水、管道清理、验收、安全措施、技术措施、设备（材料）档案、工程档案、工程定位、复测、点交、场地清理费用、垃圾清理外运费、环境保护费、测试费用、设置防撞设施、安全生产、文明施工、成品保护费等，在磋商报价时必须综合到相关子目中进行报价等合同履行过程中可能发生的风险及所需的全部费用。</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响应报价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r/>
    </w:p>
    <w:p>
      <w:pPr>
        <w:ind w:firstLine="5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一旦成交，除本磋商文件约定的可调整事项外，其余均不调整。</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2、本项目为固定单价合同。供应商应充分考虑本项目合同实施期间可能发生的费用，并承担由此而带来的风险（包含材料价格涨跌和人工工资调整）。</w:t>
      </w:r>
      <w:r/>
    </w:p>
    <w:p>
      <w:pPr>
        <w:ind w:firstLine="562"/>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各供应商在编制报价时须用造价软件编制。在报价时应认真阅读并充分理解磋商文件所有内容（含施工合同）后进行响应文件的编制，如有疑问请在规定时间内提出，如无异议，则视为认可，竣工结算时除磋商文件约定调整的内容外，其余均不调整。</w:t>
      </w:r>
      <w:r/>
    </w:p>
    <w:p>
      <w:pPr>
        <w:ind w:firstLine="561"/>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4、控制价编制依据 </w:t>
      </w:r>
      <w:r/>
    </w:p>
    <w:p>
      <w:pPr>
        <w:ind w:firstLine="561"/>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（1）本工程竞争性磋商文件、施工图纸及现有的设计变更、图纸审查意见及回复、竞争性磋商答疑（如有）等有关技术资料。 </w:t>
      </w:r>
      <w:r/>
    </w:p>
    <w:p>
      <w:pPr>
        <w:ind w:firstLine="5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（2）《建筑工程工程量清单计价规范》（GB50500-201</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《通用安装工程工程量清单计价规范》（GB50856-2013）</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t xml:space="preserve">《江苏省建设工程工程量清单计价项目指引》（2014年）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《江苏省建筑与装饰工程计价定额》（2014年）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《江苏省</w:t>
      </w:r>
      <w:r>
        <w:rPr>
          <w:rFonts w:hint="eastAsia" w:ascii="宋体" w:hAnsi="宋体" w:cs="宋体"/>
          <w:color w:val="000000"/>
          <w:sz w:val="24"/>
          <w:highlight w:val="none"/>
          <w:lang w:eastAsia="zh-CN"/>
        </w:rPr>
        <w:t xml:space="preserve">安装</w:t>
      </w:r>
      <w:r>
        <w:rPr>
          <w:rFonts w:hint="eastAsia" w:ascii="宋体" w:hAnsi="宋体" w:cs="宋体"/>
          <w:color w:val="000000"/>
          <w:sz w:val="24"/>
          <w:highlight w:val="none"/>
        </w:rPr>
        <w:t xml:space="preserve">工程计价定额》（2014年）；《江苏省建设工程费用定额》（2014年）、《省住房和城乡建设厅关于建筑业实施营改增后江苏省建设工程计价依据调整的通知》（苏建价[2016]154号文）、《省住房城乡建设厅关于调整建设工程按质论价等费用计取方法的公告》（[2018]第24号）、《省住房城乡建设厅关于调整建设工程计价增值税税率的通知》 （苏建函价〔2019〕178号）；其他相应的补充规定和南通市现行的有关文件；</w:t>
      </w:r>
      <w:r/>
    </w:p>
    <w:p>
      <w:pPr>
        <w:ind w:firstLine="562"/>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（3）人工工资按《省住房和城乡建设厅关于发布2025年上半年建设工程人工工资指导价的通知》（苏建函价〔2025〕66号）执行。材料价格参考《南通建设工程造价信息》2025年第</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期，缺项材料市场询价。上述价格已考虑营改增的调整内容，材料按信息价中含税价格除税，征税方法采用一般计税法；</w:t>
      </w:r>
      <w:r/>
    </w:p>
    <w:p>
      <w:pPr>
        <w:ind w:firstLine="562"/>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（4）本工程不可竞争费用项目及其费率见下表：</w:t>
      </w:r>
      <w:r/>
    </w:p>
    <w:tbl>
      <w:tblPr>
        <w:tblStyle w:val="675"/>
        <w:tblW w:w="47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3471"/>
        <w:gridCol w:w="1352"/>
        <w:gridCol w:w="1282"/>
        <w:gridCol w:w="1225"/>
      </w:tblGrid>
      <w:tr>
        <w:trPr>
          <w:jc w:val="center"/>
          <w:trHeight w:val="702" w:hRule="exact"/>
        </w:trPr>
        <w:tc>
          <w:tcPr>
            <w:tcW w:w="126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费用类别</w:t>
            </w:r>
            <w:r/>
          </w:p>
        </w:tc>
        <w:tc>
          <w:tcPr>
            <w:tcW w:w="3452"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费 用 名 称</w:t>
            </w:r>
            <w:r/>
          </w:p>
        </w:tc>
        <w:tc>
          <w:tcPr>
            <w:tcW w:w="134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计费</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基数</w:t>
            </w:r>
            <w:r/>
          </w:p>
        </w:tc>
        <w:tc>
          <w:tcPr>
            <w:tcW w:w="127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装修</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1218" w:type="dxa"/>
            <w:vAlign w:val="center"/>
            <w:textDirection w:val="lrTb"/>
            <w:noWrap/>
          </w:tcPr>
          <w:p>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安装</w:t>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r>
      <w:tr>
        <w:trPr>
          <w:jc w:val="center"/>
          <w:trHeight w:val="690"/>
        </w:trPr>
        <w:tc>
          <w:tcPr>
            <w:tcW w:w="1265" w:type="dxa"/>
            <w:vAlign w:val="center"/>
            <w:vMerge w:val="restart"/>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规  费</w:t>
            </w:r>
            <w:r/>
          </w:p>
        </w:tc>
        <w:tc>
          <w:tcPr>
            <w:tcW w:w="3452"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环境保护税</w:t>
            </w:r>
            <w:r/>
          </w:p>
        </w:tc>
        <w:tc>
          <w:tcPr>
            <w:tcW w:w="134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A+B+C-D</w:t>
            </w:r>
            <w:r/>
          </w:p>
        </w:tc>
        <w:tc>
          <w:tcPr>
            <w:tcW w:w="127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1218"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r>
      <w:tr>
        <w:trPr>
          <w:jc w:val="center"/>
          <w:trHeight w:val="690"/>
        </w:trPr>
        <w:tc>
          <w:tcPr>
            <w:tcW w:w="1265" w:type="dxa"/>
            <w:vAlign w:val="center"/>
            <w:vMerge w:val="continue"/>
            <w:textDirection w:val="lrTb"/>
            <w:noWrap/>
          </w:tcPr>
          <w:p>
            <w:pPr>
              <w:ind w:firstLine="562"/>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452"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社会保障费</w:t>
            </w:r>
            <w:r/>
          </w:p>
        </w:tc>
        <w:tc>
          <w:tcPr>
            <w:tcW w:w="134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A+B+C-D</w:t>
            </w:r>
            <w:r/>
          </w:p>
        </w:tc>
        <w:tc>
          <w:tcPr>
            <w:tcW w:w="127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2.40</w:t>
            </w:r>
            <w:r/>
          </w:p>
        </w:tc>
        <w:tc>
          <w:tcPr>
            <w:tcW w:w="1218"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2.40</w:t>
            </w:r>
            <w:r/>
          </w:p>
        </w:tc>
      </w:tr>
      <w:tr>
        <w:trPr>
          <w:jc w:val="center"/>
          <w:trHeight w:val="690"/>
        </w:trPr>
        <w:tc>
          <w:tcPr>
            <w:tcW w:w="1265" w:type="dxa"/>
            <w:vAlign w:val="center"/>
            <w:vMerge w:val="continue"/>
            <w:textDirection w:val="lrTb"/>
            <w:noWrap/>
          </w:tcPr>
          <w:p>
            <w:pPr>
              <w:ind w:firstLine="562"/>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452"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住房公积金</w:t>
            </w:r>
            <w:r/>
          </w:p>
        </w:tc>
        <w:tc>
          <w:tcPr>
            <w:tcW w:w="134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A+B+C-D</w:t>
            </w:r>
            <w:r/>
          </w:p>
        </w:tc>
        <w:tc>
          <w:tcPr>
            <w:tcW w:w="127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0.42</w:t>
            </w:r>
            <w:r/>
          </w:p>
        </w:tc>
        <w:tc>
          <w:tcPr>
            <w:tcW w:w="1218"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0.42</w:t>
            </w:r>
            <w:r/>
          </w:p>
        </w:tc>
      </w:tr>
      <w:tr>
        <w:trPr>
          <w:jc w:val="center"/>
          <w:trHeight w:val="690"/>
        </w:trPr>
        <w:tc>
          <w:tcPr>
            <w:tcW w:w="1265" w:type="dxa"/>
            <w:vAlign w:val="center"/>
            <w:vMerge w:val="restart"/>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现场安全文明施工措施费</w:t>
            </w:r>
            <w:r/>
          </w:p>
        </w:tc>
        <w:tc>
          <w:tcPr>
            <w:tcW w:w="3452"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基本费</w:t>
            </w:r>
            <w:r/>
          </w:p>
        </w:tc>
        <w:tc>
          <w:tcPr>
            <w:tcW w:w="134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A+B1-D</w:t>
            </w:r>
            <w:r/>
          </w:p>
        </w:tc>
        <w:tc>
          <w:tcPr>
            <w:tcW w:w="127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1.70</w:t>
            </w:r>
            <w:r/>
          </w:p>
        </w:tc>
        <w:tc>
          <w:tcPr>
            <w:tcW w:w="1218"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1.50</w:t>
            </w:r>
            <w:r/>
          </w:p>
        </w:tc>
      </w:tr>
      <w:tr>
        <w:trPr>
          <w:jc w:val="center"/>
          <w:trHeight w:val="690"/>
        </w:trPr>
        <w:tc>
          <w:tcPr>
            <w:tcW w:w="1265" w:type="dxa"/>
            <w:vAlign w:val="center"/>
            <w:vMerge w:val="continue"/>
            <w:textDirection w:val="lrTb"/>
            <w:noWrap/>
          </w:tcPr>
          <w:p>
            <w:pPr>
              <w:ind w:firstLine="562"/>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452"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标化工地增加费</w:t>
            </w:r>
            <w:r/>
          </w:p>
        </w:tc>
        <w:tc>
          <w:tcPr>
            <w:tcW w:w="134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A+B1-D</w:t>
            </w:r>
            <w:r/>
          </w:p>
        </w:tc>
        <w:tc>
          <w:tcPr>
            <w:tcW w:w="127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1218"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r>
      <w:tr>
        <w:trPr>
          <w:jc w:val="center"/>
          <w:trHeight w:val="690"/>
        </w:trPr>
        <w:tc>
          <w:tcPr>
            <w:tcW w:w="1265" w:type="dxa"/>
            <w:vAlign w:val="center"/>
            <w:vMerge w:val="continue"/>
            <w:textDirection w:val="lrTb"/>
            <w:noWrap/>
          </w:tcPr>
          <w:p>
            <w:pPr>
              <w:ind w:firstLine="562"/>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3452"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扬尘污染防治增加费</w:t>
            </w:r>
            <w:r/>
          </w:p>
        </w:tc>
        <w:tc>
          <w:tcPr>
            <w:tcW w:w="134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A+B1-D</w:t>
            </w:r>
            <w:r/>
          </w:p>
        </w:tc>
        <w:tc>
          <w:tcPr>
            <w:tcW w:w="127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0.22</w:t>
            </w:r>
            <w:r/>
          </w:p>
        </w:tc>
        <w:tc>
          <w:tcPr>
            <w:tcW w:w="1218"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0.21</w:t>
            </w:r>
            <w:r/>
          </w:p>
        </w:tc>
      </w:tr>
      <w:tr>
        <w:trPr>
          <w:jc w:val="center"/>
          <w:trHeight w:val="690"/>
        </w:trPr>
        <w:tc>
          <w:tcPr>
            <w:gridSpan w:val="2"/>
            <w:tcW w:w="4717" w:type="dxa"/>
            <w:vAlign w:val="center"/>
            <w:textDirection w:val="lrTb"/>
            <w:noWrap/>
          </w:tcPr>
          <w:p>
            <w:pPr>
              <w:ind w:firstLine="562"/>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税  金</w:t>
            </w:r>
            <w:r/>
          </w:p>
        </w:tc>
        <w:tc>
          <w:tcPr>
            <w:tcW w:w="134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税前造价</w:t>
            </w:r>
            <w:r/>
          </w:p>
        </w:tc>
        <w:tc>
          <w:tcPr>
            <w:tcW w:w="1275"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9.00</w:t>
            </w:r>
            <w:r/>
          </w:p>
        </w:tc>
        <w:tc>
          <w:tcPr>
            <w:tcW w:w="1218" w:type="dxa"/>
            <w:vAlign w:val="center"/>
            <w:textDirection w:val="lrTb"/>
            <w:noWrap/>
          </w:tcPr>
          <w:p>
            <w:pPr>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9.00</w:t>
            </w:r>
            <w:r/>
          </w:p>
        </w:tc>
      </w:tr>
    </w:tbl>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注：① 计算基础： A为分部分项工程费， B为措施项目清单费，C其它项目费，D为除税工程设备费，B1为单价措施项目费。  </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② 现场安全文明施工措施费率为暂定、 最终以南通市建设工程造价管理处核定为准，否则在总价中扣除。</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③ 不可竞争费以网上公布的清单中的为准。</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5、磋商响应报价的计价依据</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按照国家统一的工程量清单计价规范，配套使用江苏省建筑与装饰工程定额、费用计算规则和项目指引，由采购单位提供工程量，各供应商自主报价确定工程造价的计价方式。</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6、磋商响应报价方式：</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工程项目采用固定单价报价方式。工程量的风险由采购单位承担，价格风险在约定风险范围内的，由成交供应商承担，风险范围以外的按合同约定承担。竣工结算的工程量按发承包双方在合同中约定应予计量且实际完成的工程量确定，完成采购单位要求的合同以外的零星工作或发生非成交供应商责任事件的工程量按现场签证确定。</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7、响应报价的编制要求</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sz w:val="24"/>
          <w:szCs w:val="24"/>
          <w:highlight w:val="none"/>
        </w:rPr>
        <w:t xml:space="preserve">供应商按本企业定额，无企业定额的，参照</w:t>
      </w:r>
      <w:r>
        <w:rPr>
          <w:rFonts w:hint="eastAsia" w:ascii="宋体" w:hAnsi="宋体" w:eastAsia="宋体" w:cs="宋体"/>
          <w:sz w:val="24"/>
          <w:szCs w:val="24"/>
          <w:highlight w:val="none"/>
          <w:lang w:eastAsia="zh-CN"/>
        </w:rPr>
        <w:t xml:space="preserve">控制</w:t>
      </w:r>
      <w:r>
        <w:rPr>
          <w:rFonts w:hint="eastAsia" w:ascii="宋体" w:hAnsi="宋体" w:eastAsia="宋体" w:cs="宋体"/>
          <w:sz w:val="24"/>
          <w:szCs w:val="24"/>
          <w:highlight w:val="none"/>
        </w:rPr>
        <w:t xml:space="preserve">价编制依据。</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sz w:val="24"/>
          <w:szCs w:val="24"/>
          <w:highlight w:val="none"/>
          <w:lang w:eastAsia="zh-CN"/>
        </w:rPr>
        <w:t xml:space="preserve">本工程</w:t>
      </w:r>
      <w:r>
        <w:rPr>
          <w:rFonts w:hint="eastAsia" w:ascii="宋体" w:hAnsi="宋体" w:cs="宋体"/>
          <w:color w:val="000000"/>
          <w:sz w:val="24"/>
          <w:highlight w:val="none"/>
        </w:rPr>
        <w:t xml:space="preserve">采用工程量清单计价方式，供应商不得采用总价让利或以总价百分比让利等办法进行磋商响应报价。</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除供应商自行补充的措施项目外，响应报价的项目编码、项目名称、项目特征、计量单位、工程量必须与采购单位提供的一致。工程量清单中供应商没有填入单价或价格的子目，其费用视为已分摊在工程量清单中其他子目的单价或价格之中。</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（4）报价书中的工程数量乘以综合单价必须等于合价，如有误差结算时以综合单价金额小的为计算依据。</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响应报价应根据采购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单位的优惠。供应商响应文件中所报设备、材料其规格、尺寸、等级不得低于清单的要求。成交人应根据清单确定的标准、等级、规格组织施工。</w:t>
      </w:r>
      <w:r/>
    </w:p>
    <w:p>
      <w:pPr>
        <w:ind w:firstLine="5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供应商不得擅自改动采购单位提供的工程量清单上的内容。若对提供的工程量清单内容有疑义，请将书面疑问材料在规定的时间和方法向代理单位提出，其中清单内容的书面疑问材料经采购单位组织核实确认后提供最终工程量清单，供应商在响应报价时，不得增减清单工程量。</w:t>
      </w:r>
      <w:r/>
    </w:p>
    <w:p>
      <w:pPr>
        <w:ind w:firstLine="5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工程施工期间涉及环保、消防、城市卫生、市政、居委会、派出所等相关部门收取的费用，以及夜间文明施工、保护周边地下管线和架空线的安全的费用，高层施工费，吊篮或其他无工作面增加的措施费等，供应商均应综合考虑在响应报价中，竣工结算时一律不作调整。</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（8）本工程所有材料全部由供应商负责采购，</w:t>
      </w:r>
      <w:r>
        <w:rPr>
          <w:rFonts w:hint="eastAsia" w:ascii="宋体" w:hAnsi="宋体" w:cs="宋体"/>
          <w:color w:val="000000"/>
          <w:sz w:val="24"/>
          <w:highlight w:val="none"/>
          <w:lang w:eastAsia="zh-CN"/>
        </w:rPr>
        <w:t xml:space="preserve">主要材料按照施工图纸中的选材表，且</w:t>
      </w:r>
      <w:r>
        <w:rPr>
          <w:rFonts w:hint="eastAsia" w:ascii="宋体" w:hAnsi="宋体" w:cs="宋体"/>
          <w:color w:val="000000"/>
          <w:sz w:val="24"/>
          <w:highlight w:val="none"/>
        </w:rPr>
        <w:t xml:space="preserve">厂家、品名、型号、规格、颜色、花纹、材质等必须经</w:t>
      </w:r>
      <w:r>
        <w:rPr>
          <w:rFonts w:hint="eastAsia" w:ascii="宋体" w:hAnsi="宋体" w:cs="宋体"/>
          <w:color w:val="000000"/>
          <w:sz w:val="24"/>
          <w:highlight w:val="none"/>
          <w:lang w:eastAsia="zh-CN"/>
        </w:rPr>
        <w:t xml:space="preserve">采购单位</w:t>
      </w:r>
      <w:r>
        <w:rPr>
          <w:rFonts w:hint="eastAsia" w:ascii="宋体" w:hAnsi="宋体" w:cs="宋体"/>
          <w:color w:val="000000"/>
          <w:sz w:val="24"/>
          <w:highlight w:val="none"/>
        </w:rPr>
        <w:t xml:space="preserve">及监理书面认可确认后方可进场。固定家具需工厂定制，工厂、环保型材料、样式及厂家</w:t>
      </w:r>
      <w:r>
        <w:rPr>
          <w:rFonts w:hint="eastAsia" w:ascii="宋体" w:hAnsi="宋体" w:cs="宋体"/>
          <w:color w:val="000000"/>
          <w:sz w:val="24"/>
          <w:highlight w:val="none"/>
          <w:lang w:eastAsia="zh-CN"/>
        </w:rPr>
        <w:t xml:space="preserve">须采购单位</w:t>
      </w:r>
      <w:r>
        <w:rPr>
          <w:rFonts w:hint="eastAsia" w:ascii="宋体" w:hAnsi="宋体" w:cs="宋体"/>
          <w:color w:val="000000"/>
          <w:sz w:val="24"/>
          <w:highlight w:val="none"/>
        </w:rPr>
        <w:t xml:space="preserve">、设计认可</w:t>
      </w:r>
      <w:r>
        <w:rPr>
          <w:rFonts w:hint="eastAsia" w:ascii="宋体" w:hAnsi="宋体" w:cs="宋体"/>
          <w:color w:val="000000"/>
          <w:sz w:val="24"/>
          <w:highlight w:val="none"/>
          <w:lang w:eastAsia="zh-CN"/>
        </w:rPr>
        <w:t xml:space="preserve">，其余材料的选</w:t>
      </w:r>
      <w:r>
        <w:rPr>
          <w:rFonts w:hint="eastAsia" w:ascii="宋体" w:hAnsi="宋体" w:cs="宋体"/>
          <w:color w:val="000000"/>
          <w:sz w:val="24"/>
          <w:highlight w:val="none"/>
        </w:rPr>
        <w:t xml:space="preserve">用</w:t>
      </w:r>
      <w:r>
        <w:rPr>
          <w:rFonts w:hint="eastAsia" w:ascii="宋体" w:hAnsi="宋体" w:cs="宋体"/>
          <w:color w:val="000000"/>
          <w:sz w:val="24"/>
          <w:highlight w:val="none"/>
          <w:lang w:eastAsia="zh-CN"/>
        </w:rPr>
        <w:t xml:space="preserve">按</w:t>
      </w:r>
      <w:r>
        <w:rPr>
          <w:rFonts w:hint="eastAsia" w:ascii="宋体" w:hAnsi="宋体" w:cs="宋体"/>
          <w:color w:val="000000"/>
          <w:sz w:val="24"/>
          <w:highlight w:val="none"/>
        </w:rPr>
        <w:t xml:space="preserve">国产中档及以上且符合国家标准的合格产品</w:t>
      </w:r>
      <w:r>
        <w:rPr>
          <w:rFonts w:hint="eastAsia" w:ascii="宋体" w:hAnsi="宋体" w:cs="宋体"/>
          <w:color w:val="000000"/>
          <w:sz w:val="24"/>
          <w:highlight w:val="none"/>
          <w:lang w:eastAsia="zh-CN"/>
        </w:rPr>
        <w:t xml:space="preserve">报价。</w:t>
      </w:r>
      <w:r>
        <w:rPr>
          <w:rFonts w:hint="eastAsia" w:ascii="宋体" w:hAnsi="宋体" w:cs="宋体"/>
          <w:color w:val="000000"/>
          <w:sz w:val="24"/>
          <w:highlight w:val="none"/>
        </w:rPr>
        <w:t xml:space="preserve">供应商充分考虑市场价格风险，一旦成交，材料价格不作调整。在实际施工中，供应商必须提供样品报</w:t>
      </w:r>
      <w:r>
        <w:rPr>
          <w:rFonts w:hint="eastAsia" w:ascii="宋体" w:hAnsi="宋体" w:cs="宋体"/>
          <w:color w:val="000000"/>
          <w:sz w:val="24"/>
          <w:highlight w:val="none"/>
          <w:lang w:eastAsia="zh-CN"/>
        </w:rPr>
        <w:t xml:space="preserve">采购单位</w:t>
      </w:r>
      <w:r>
        <w:rPr>
          <w:rFonts w:hint="eastAsia" w:ascii="宋体" w:hAnsi="宋体" w:cs="宋体"/>
          <w:color w:val="000000"/>
          <w:sz w:val="24"/>
          <w:highlight w:val="none"/>
        </w:rPr>
        <w:t xml:space="preserve">、监理书面认可，否则，</w:t>
      </w:r>
      <w:r>
        <w:rPr>
          <w:rFonts w:hint="eastAsia" w:ascii="宋体" w:hAnsi="宋体" w:cs="宋体"/>
          <w:color w:val="000000"/>
          <w:sz w:val="24"/>
          <w:highlight w:val="none"/>
          <w:lang w:eastAsia="zh-CN"/>
        </w:rPr>
        <w:t xml:space="preserve">采购单位</w:t>
      </w:r>
      <w:r>
        <w:rPr>
          <w:rFonts w:hint="eastAsia" w:ascii="宋体" w:hAnsi="宋体" w:cs="宋体"/>
          <w:color w:val="000000"/>
          <w:sz w:val="24"/>
          <w:highlight w:val="none"/>
        </w:rPr>
        <w:t xml:space="preserve">可以要求</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无条件更换不符合要求的产品，购进的材料设备与提供的样品不一致时，由承包人无条件退货，如因使用不符合国家标准及各项指标的材料，由此引起的相关费用由承包人承担，结算时一律不作调整。乙供材料无特殊情况时，应由</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采购。因供应商原因所采购材料等无法满足</w:t>
      </w:r>
      <w:r>
        <w:rPr>
          <w:rFonts w:hint="eastAsia" w:ascii="宋体" w:hAnsi="宋体" w:cs="宋体"/>
          <w:color w:val="000000"/>
          <w:sz w:val="24"/>
          <w:highlight w:val="none"/>
          <w:lang w:eastAsia="zh-CN"/>
        </w:rPr>
        <w:t xml:space="preserve">采购单位</w:t>
      </w:r>
      <w:r>
        <w:rPr>
          <w:rFonts w:hint="eastAsia" w:ascii="宋体" w:hAnsi="宋体" w:cs="宋体"/>
          <w:color w:val="000000"/>
          <w:sz w:val="24"/>
          <w:highlight w:val="none"/>
        </w:rPr>
        <w:t xml:space="preserve">要求时，</w:t>
      </w:r>
      <w:r>
        <w:rPr>
          <w:rFonts w:hint="eastAsia" w:ascii="宋体" w:hAnsi="宋体" w:cs="宋体"/>
          <w:color w:val="000000"/>
          <w:sz w:val="24"/>
          <w:highlight w:val="none"/>
          <w:lang w:eastAsia="zh-CN"/>
        </w:rPr>
        <w:t xml:space="preserve">采购单位</w:t>
      </w:r>
      <w:r>
        <w:rPr>
          <w:rFonts w:hint="eastAsia" w:ascii="宋体" w:hAnsi="宋体" w:cs="宋体"/>
          <w:color w:val="000000"/>
          <w:sz w:val="24"/>
          <w:highlight w:val="none"/>
        </w:rPr>
        <w:t xml:space="preserve">有权在控制价范围内采购并计取管理费，所产生的费用均由供应商承担。</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eastAsia="宋体" w:cs="宋体"/>
          <w:sz w:val="24"/>
          <w:szCs w:val="24"/>
          <w:highlight w:val="none"/>
        </w:rPr>
        <w:t xml:space="preserve">施工场地周围地下管线和邻近建筑物及构筑物的保护，由成交供应商采取保护措施，协调处理，费用包含在磋商响应报价中，竣工结算时一律不作调整。</w:t>
      </w:r>
      <w:r/>
    </w:p>
    <w:p>
      <w:pPr>
        <w:ind w:firstLine="562"/>
        <w:spacing w:line="360" w:lineRule="auto"/>
        <w:widowControl/>
        <w:rPr>
          <w:rFonts w:hint="eastAsia" w:ascii="宋体" w:hAnsi="宋体" w:cs="宋体"/>
          <w:color w:val="000000"/>
          <w:sz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因本工程实施地点为</w:t>
      </w:r>
      <w:r>
        <w:rPr>
          <w:rFonts w:hint="eastAsia" w:ascii="宋体" w:hAnsi="宋体" w:eastAsia="宋体" w:cs="宋体"/>
          <w:sz w:val="24"/>
          <w:szCs w:val="24"/>
          <w:highlight w:val="none"/>
          <w:lang w:eastAsia="zh-CN"/>
        </w:rPr>
        <w:t xml:space="preserve">医院住院部内</w:t>
      </w:r>
      <w:r>
        <w:rPr>
          <w:rFonts w:hint="eastAsia" w:ascii="宋体" w:hAnsi="宋体" w:eastAsia="宋体" w:cs="宋体"/>
          <w:sz w:val="24"/>
          <w:szCs w:val="24"/>
          <w:highlight w:val="none"/>
        </w:rPr>
        <w:t xml:space="preserve">，故</w:t>
      </w:r>
      <w:r>
        <w:rPr>
          <w:rFonts w:hint="eastAsia" w:ascii="宋体" w:hAnsi="宋体" w:eastAsia="宋体" w:cs="宋体"/>
          <w:sz w:val="24"/>
          <w:szCs w:val="24"/>
          <w:highlight w:val="none"/>
          <w:lang w:eastAsia="zh-CN"/>
        </w:rPr>
        <w:t xml:space="preserve">施工期间</w:t>
      </w:r>
      <w:r>
        <w:rPr>
          <w:rFonts w:hint="eastAsia" w:ascii="宋体" w:hAnsi="宋体" w:eastAsia="宋体" w:cs="宋体"/>
          <w:sz w:val="24"/>
          <w:szCs w:val="24"/>
          <w:highlight w:val="none"/>
        </w:rPr>
        <w:t xml:space="preserve">不得影响正常的</w:t>
      </w:r>
      <w:r>
        <w:rPr>
          <w:rFonts w:hint="eastAsia" w:ascii="宋体" w:hAnsi="宋体" w:eastAsia="宋体" w:cs="宋体"/>
          <w:sz w:val="24"/>
          <w:szCs w:val="24"/>
          <w:highlight w:val="none"/>
          <w:lang w:eastAsia="zh-CN"/>
        </w:rPr>
        <w:t xml:space="preserve">医疗和办公</w:t>
      </w:r>
      <w:r>
        <w:rPr>
          <w:rFonts w:hint="eastAsia" w:ascii="宋体" w:hAnsi="宋体" w:eastAsia="宋体" w:cs="宋体"/>
          <w:sz w:val="24"/>
          <w:szCs w:val="24"/>
          <w:highlight w:val="none"/>
        </w:rPr>
        <w:t xml:space="preserve">环境，</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减少对</w:t>
      </w:r>
      <w:r>
        <w:rPr>
          <w:rFonts w:hint="eastAsia" w:ascii="宋体" w:hAnsi="宋体" w:eastAsia="宋体" w:cs="宋体"/>
          <w:sz w:val="24"/>
          <w:szCs w:val="24"/>
          <w:highlight w:val="none"/>
          <w:lang w:eastAsia="zh-CN"/>
        </w:rPr>
        <w:t xml:space="preserve">交通及周边环境</w:t>
      </w:r>
      <w:r>
        <w:rPr>
          <w:rFonts w:hint="eastAsia" w:ascii="宋体" w:hAnsi="宋体" w:eastAsia="宋体" w:cs="宋体"/>
          <w:sz w:val="24"/>
          <w:szCs w:val="24"/>
          <w:highlight w:val="none"/>
        </w:rPr>
        <w:t xml:space="preserve">的影响，同时须无条件接受采购单位的管理，成交供应商应确保各分项工程满足设计图纸、验收规范等要求，减少工序交叉施工的影响，并做好成品保护工作，采购单位不再另行支付任何涉及工序交叉影响的费用。</w:t>
      </w:r>
      <w:r>
        <w:rPr>
          <w:rFonts w:hint="eastAsia" w:ascii="宋体" w:hAnsi="宋体" w:cs="宋体"/>
          <w:color w:val="000000"/>
          <w:sz w:val="24"/>
          <w:highlight w:val="none"/>
        </w:rPr>
        <w:t xml:space="preserve">。</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）成交供应商不得拒绝完成采购单位在施工地点范围内变更或要求增加和减少的工程内容，并不得因此提出任何费用或工期索赔。</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）因施工场地狭小而发生的一切费用由各供应商自行考虑，所有费用包含在响应报价中，竣工结算时一律不作调整。</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应自行根据现场实际情况，垃圾（含拆迁建筑垃圾）拆除清运费由供应商自行计入报价，实际施工中不再签证，结算时不予调整。清理标准必须得到采购单位认可，否则，如发生相关费用则由采购单位在工程结算价款中扣除。</w:t>
      </w:r>
      <w:r/>
    </w:p>
    <w:p>
      <w:pPr>
        <w:ind w:firstLine="562"/>
        <w:spacing w:line="360" w:lineRule="auto"/>
        <w:widowControl/>
        <w:rPr>
          <w:rFonts w:hAnsi="Arial"/>
          <w:b/>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供应商必须认真仔细踏勘施工现场，结合本工程实际情况，并在响应报价时综合考虑赶工措施费、已完工程、原有地上及地下成品保护费、设备保护费、临时设施费等总价措施费项目，并计入报价，该费用一次性包定，结算时一律不作调整。如有损坏，应按照不低于原设计标准恢复，费用列入报价。</w:t>
      </w:r>
      <w:r>
        <w:rPr>
          <w:rFonts w:hint="eastAsia" w:ascii="宋体" w:hAnsi="宋体" w:cs="宋体"/>
          <w:b/>
          <w:color w:val="000000"/>
          <w:sz w:val="24"/>
          <w:highlight w:val="none"/>
        </w:rPr>
        <w:t xml:space="preserve">现场勘察联系人：</w:t>
      </w:r>
      <w:r>
        <w:rPr>
          <w:rFonts w:hint="eastAsia" w:ascii="宋体" w:hAnsi="宋体" w:cs="宋体"/>
          <w:b/>
          <w:sz w:val="24"/>
          <w:highlight w:val="none"/>
        </w:rPr>
        <w:t xml:space="preserve">薛主任、吴工，0513-89156536</w:t>
      </w:r>
      <w:r>
        <w:rPr>
          <w:rFonts w:hint="eastAsia" w:ascii="宋体" w:hAnsi="宋体" w:cs="宋体"/>
          <w:b/>
          <w:color w:val="000000"/>
          <w:sz w:val="24"/>
          <w:highlight w:val="none"/>
        </w:rPr>
        <w:t xml:space="preserve">。</w:t>
      </w:r>
      <w:r/>
    </w:p>
    <w:p>
      <w:pPr>
        <w:pStyle w:val="756"/>
        <w:ind w:firstLine="480"/>
        <w:spacing w:line="360" w:lineRule="auto"/>
        <w:rPr>
          <w:rFonts w:hint="eastAsia" w:ascii="宋体" w:hAnsi="宋体" w:cs="宋体"/>
          <w:color w:val="000000"/>
          <w:sz w:val="24"/>
          <w:szCs w:val="24"/>
          <w:highlight w:val="none"/>
        </w:rPr>
      </w:pPr>
      <w:r>
        <w:rPr>
          <w:rFonts w:hint="eastAsia"/>
          <w:color w:val="000000"/>
          <w:sz w:val="24"/>
          <w:szCs w:val="24"/>
          <w:highlight w:val="none"/>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color w:val="000000"/>
          <w:sz w:val="24"/>
          <w:szCs w:val="24"/>
          <w:highlight w:val="none"/>
        </w:rPr>
        <w:t xml:space="preserve">）供应商应认真踏勘施工现场，并在报价中充分考虑施工现场情况、</w:t>
      </w:r>
      <w:r>
        <w:rPr>
          <w:rFonts w:hint="eastAsia" w:ascii="宋体" w:hAnsi="宋体" w:cs="宋体"/>
          <w:color w:val="000000"/>
          <w:sz w:val="24"/>
          <w:szCs w:val="24"/>
          <w:highlight w:val="none"/>
        </w:rPr>
        <w:t xml:space="preserve">施工期的各种风险及施工期间或以后有可能发生的费用，并计入工程报价，一旦成交，不得提出额外增加费用要求。</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工程量清单应与施工图、竞争性磋商文件、技术要求、技术规范等文件结合起来阅读，除设计变更外，采购单位在工程量清单项目特征中未列明或项目特征描述不全，但供应商为满足采购单位和设计图纸的要求而必须完成的工作，供应商应计入工程量清单相应子目中，工程结算时采购单位不为此类项目另外支付费用。</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供应商须在竣工前拆除现场所有临时设施，包括所有的机械设备、硬化场地后的拆地拆除等建筑垃圾及剩余材料全部清运出场，相关费用（含渣土证费用）由各供应商在报价时自行考虑到响应报价中，竣工结算时不作任何调整。清理标准应得到采购单位的认可，否则，如发生相关费用则由采购单位在工程结算价款中扣除。</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）成交供应商应独立、有效地做好该工程周边的</w:t>
      </w:r>
      <w:r>
        <w:rPr>
          <w:rFonts w:hint="eastAsia" w:ascii="宋体" w:hAnsi="宋体" w:cs="宋体"/>
          <w:color w:val="000000"/>
          <w:sz w:val="24"/>
          <w:highlight w:val="none"/>
          <w:lang w:eastAsia="zh-CN"/>
        </w:rPr>
        <w:t xml:space="preserve">医患</w:t>
      </w:r>
      <w:r>
        <w:rPr>
          <w:rFonts w:hint="eastAsia" w:ascii="宋体" w:hAnsi="宋体" w:cs="宋体"/>
          <w:color w:val="000000"/>
          <w:sz w:val="24"/>
          <w:highlight w:val="none"/>
        </w:rPr>
        <w:t xml:space="preserve">等工作，如噪音、扬尘等，独立、有效地做好该工程周边的有关群众工作并充分考虑工程实施范围内外的单位、个人和其他可能出现阻挠施工的情况，若发生的机械台班停置费、二次机械进退场费、人员窝工、处理周边群众纠纷等费用和损失，由供应商自行考虑，并列入磋商响应报价，工程竣工结算时不作调整。</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现场安全文明施工措施费、规费项目费、税金项目费、暂列金额（如有，使用权归业主方）、暂估价（如有，不允许调整，最终价格由采购单位通过合适的方法确定）不得调整外，供应商可根据自己的施工方案及企业自身情况不低于成本报价。</w:t>
      </w:r>
      <w:r/>
    </w:p>
    <w:p>
      <w:pPr>
        <w:ind w:firstLine="562"/>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供应商应自行踏勘施工现场，并在磋商响应报价中综合考虑施工机械设备、材料进出场、二次搬运等涉及所有费用并计入报价，成交后不得以场地现状及条件为由提出额外要求和增加工程费用，采购单位不再对此项费用另行签证。</w:t>
      </w:r>
      <w:r/>
    </w:p>
    <w:p>
      <w:pPr>
        <w:ind w:firstLine="562"/>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在实际施工中，采购单位可以无条件要求施工单位更换不符合要求的产品，购进的材料设备与提供的样品不一致时，由成交供应商无条件退货，如因使用不符合国家标准及各项指标的材料，由此引起的相关费用由成交供应商承担，结算时一律不作调整</w:t>
      </w:r>
      <w:r>
        <w:rPr>
          <w:rFonts w:hint="eastAsia" w:ascii="宋体" w:hAnsi="宋体" w:eastAsia="宋体" w:cs="宋体"/>
          <w:sz w:val="24"/>
          <w:szCs w:val="24"/>
          <w:highlight w:val="none"/>
          <w:lang w:eastAsia="zh-CN"/>
        </w:rPr>
        <w:t xml:space="preserve">。</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rPr>
        <w:t xml:space="preserve">）作为一个有经验的承包商，响应报价时应考虑施工过程中可能发生的各种风险因素，在整个工程施工过程中，若发生对周边相关构筑物、设施损坏的，承包人必须负责更换或修复，直至得到采购单位的认可，期间涉及的所有费用由供应商承担，采购单位不再另行支付该项费用，结算时一律不作调整。</w:t>
      </w:r>
      <w:r/>
    </w:p>
    <w:p>
      <w:pPr>
        <w:ind w:firstLine="5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若供应商在响应报价时擅自改变暂估价或暂列金额且评审时未被发现，报价低于暂估价或暂列金额结算时统一先按磋商文件明确暂估价或暂列金额扣除，报价高于暂估价或暂列金额时统一先按报价扣除；若擅自改变采购文件及清单内容，且评标时未被发现的，实际施工时一律以磋商文件及清单内容执行，结算价格不予调整。</w:t>
      </w:r>
      <w:r/>
    </w:p>
    <w:p>
      <w:pPr>
        <w:ind w:firstLine="561"/>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本工程涉及的群众问题及施工过程中出现的临时交通维护、施工临时占用道路及绿化的补偿或恢复、周边建筑的破损补偿或恢复、垃圾清理清杂、运出及可能出现的窝工、停工、怠工、对施工过程中遇到的应由承包人承担的补偿、赔偿、罚款、违约金等费用均由施工单位自行解决，并列入响应报价，工程结算时不作调整。</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成交人在施工中应注意与相邻近的建筑物（构筑物）的关系，采取合理的措施，避免产生不利影响，相关措施费用自行考虑并列入措施清单，一次性包死，若因成交供应商原因造成建筑物（构筑物）出现位移、裂缝等情况，由成交供应商负责赔偿，相关费用自行估算并列入措施项目清单，一次性包死。</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eastAsia="宋体" w:cs="宋体"/>
          <w:sz w:val="24"/>
          <w:szCs w:val="24"/>
          <w:highlight w:val="none"/>
        </w:rPr>
        <w:t xml:space="preserve">供应商根据施工现场情况及现行规定，自行根据可行的施工方案对措施费自行增加清单进行报价，结算时，除工程变更引起施工方案改变外，成交供应商不得以采购工程措施项目缺项为由要求新增措施项目，结算时一律不作调整</w:t>
      </w:r>
      <w:r>
        <w:rPr>
          <w:rFonts w:hint="eastAsia" w:ascii="宋体" w:hAnsi="宋体" w:eastAsia="宋体" w:cs="宋体"/>
          <w:sz w:val="24"/>
          <w:szCs w:val="24"/>
          <w:highlight w:val="none"/>
          <w:lang w:eastAsia="zh-CN"/>
        </w:rPr>
        <w:t xml:space="preserve">。</w:t>
      </w:r>
      <w:r/>
    </w:p>
    <w:p>
      <w:pPr>
        <w:ind w:firstLine="561"/>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成交供应商必须保护现有房屋、道路、结构物等成品，如有损坏，应按照不低于原设计标准恢复，费用自理。如成交供应商不能及时按采购单位要求恢复，采购单位有权委托其他单位实施，相关费用从成交供应商合同价中予以扣除。</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供应商确定响应报价时应考虑施工过程中运出的建筑垃圾等必须运出施工现场范围以外，否则，除须接受相关部门的处罚外，发现一次采购单位将视情节严重向承包人收取履约保证金的10-20%，并有权要求其重新清运出。清运前承包人必须向采购单位指明堆放地点(该地点必须符合建筑垃圾(渣土)管理中心要求)，建筑垃圾(渣土)管理中心收取的建筑垃圾处置费由磋商响应供应商考虑在报价中，结算时不予调整。</w:t>
      </w:r>
      <w:r/>
    </w:p>
    <w:p>
      <w:pPr>
        <w:ind w:firstLine="562"/>
        <w:spacing w:line="360" w:lineRule="auto"/>
        <w:widowControl/>
        <w:rPr>
          <w:color w:val="000000"/>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）施工期间和竣工移交时的保洁工作及费用，磋商响应供应商在报价时须综合考虑在响应报价中，结算时不做调整。</w:t>
      </w:r>
      <w:r/>
    </w:p>
    <w:p>
      <w:pPr>
        <w:pStyle w:val="75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）供应商施工期间应遵守</w:t>
      </w:r>
      <w:r>
        <w:rPr>
          <w:rFonts w:hint="eastAsia" w:ascii="宋体" w:hAnsi="宋体" w:cs="宋体"/>
          <w:color w:val="000000"/>
          <w:sz w:val="24"/>
          <w:szCs w:val="24"/>
          <w:highlight w:val="none"/>
          <w:lang w:eastAsia="zh-CN"/>
        </w:rPr>
        <w:t xml:space="preserve">南通市妇幼保健院</w:t>
      </w:r>
      <w:r>
        <w:rPr>
          <w:rFonts w:hint="eastAsia" w:ascii="宋体" w:hAnsi="宋体" w:cs="宋体"/>
          <w:color w:val="000000"/>
          <w:sz w:val="24"/>
          <w:szCs w:val="24"/>
          <w:highlight w:val="none"/>
        </w:rPr>
        <w:t xml:space="preserve">的有关施工管理和物业管理规定，做好每日施工场地清理、垃圾清运和保洁工作，上述费用包含在本次报价中，结算不作调整。</w:t>
      </w:r>
      <w:r/>
    </w:p>
    <w:p>
      <w:pPr>
        <w:ind w:firstLine="562"/>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31</w:t>
      </w:r>
      <w:r>
        <w:rPr>
          <w:rFonts w:hint="eastAsia" w:ascii="宋体" w:hAnsi="宋体" w:cs="宋体"/>
          <w:color w:val="000000"/>
          <w:sz w:val="24"/>
          <w:highlight w:val="none"/>
        </w:rPr>
        <w:t xml:space="preserve">）赶工费、按质论价费、二次搬运费、特殊条件下施工增加费、冬雨季施工增加费、夜间施工增加费、临时设施费、已完工程及设备保护费等措施费由各供应商自行考虑，列入磋商响应报价，一次性包定，结算时一律不作调整。</w:t>
      </w:r>
      <w:r/>
    </w:p>
    <w:p>
      <w:pPr>
        <w:ind w:firstLine="56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32</w:t>
      </w:r>
      <w:r>
        <w:rPr>
          <w:rFonts w:hint="eastAsia" w:ascii="宋体" w:hAnsi="宋体" w:cs="宋体"/>
          <w:color w:val="000000"/>
          <w:sz w:val="24"/>
          <w:highlight w:val="none"/>
        </w:rPr>
        <w:t xml:space="preserve">）成交供应商不得拒绝完成采购单位在施工地点范围内变更或要求增加和减少的工程内容。</w:t>
      </w:r>
      <w:r/>
    </w:p>
    <w:p>
      <w:pPr>
        <w:ind w:firstLine="56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）成交供应商的管理人员临时办公室、工人宿舍及配套生活用房须另行自理，不得设在</w:t>
      </w:r>
      <w:r>
        <w:rPr>
          <w:rFonts w:hint="eastAsia" w:ascii="宋体" w:hAnsi="宋体" w:cs="宋体"/>
          <w:color w:val="000000"/>
          <w:sz w:val="24"/>
          <w:highlight w:val="none"/>
          <w:lang w:eastAsia="zh-CN"/>
        </w:rPr>
        <w:t xml:space="preserve">南通市妇幼保健院</w:t>
      </w:r>
      <w:r>
        <w:rPr>
          <w:rFonts w:hint="eastAsia" w:ascii="宋体" w:hAnsi="宋体" w:cs="宋体"/>
          <w:color w:val="000000"/>
          <w:sz w:val="24"/>
          <w:highlight w:val="none"/>
        </w:rPr>
        <w:t xml:space="preserve">内。因工程需要临时向其他单位租用场地的，由成交供应商自行解决，相关费用列入报价。</w:t>
      </w:r>
      <w:r/>
    </w:p>
    <w:p>
      <w:pPr>
        <w:ind w:firstLine="562"/>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）本工程所有以“项”计入造价</w:t>
      </w:r>
      <w:r>
        <w:rPr>
          <w:rFonts w:hint="eastAsia" w:ascii="宋体" w:hAnsi="宋体" w:cs="宋体"/>
          <w:color w:val="000000"/>
          <w:sz w:val="24"/>
          <w:highlight w:val="none"/>
          <w:lang w:eastAsia="zh-CN"/>
        </w:rPr>
        <w:t xml:space="preserve">的清单项</w:t>
      </w:r>
      <w:r>
        <w:rPr>
          <w:rFonts w:hint="eastAsia" w:ascii="宋体" w:hAnsi="宋体" w:cs="宋体"/>
          <w:color w:val="000000"/>
          <w:sz w:val="24"/>
          <w:highlight w:val="none"/>
        </w:rPr>
        <w:t xml:space="preserve">，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若供应商在磋商响应报价时擅自改变磋商文件及清单内容，评审时未被发现，实际施工时均按磋商文件及清单内容执行，结算时不予调整。</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rPr>
        <w:t xml:space="preserve">供应商确定磋商响应报价，同时应考虑合同中包含的风险、责任等各项费用。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37）</w:t>
      </w:r>
      <w:r>
        <w:rPr>
          <w:rFonts w:hint="eastAsia" w:ascii="宋体" w:hAnsi="宋体" w:eastAsia="宋体" w:cs="宋体"/>
          <w:sz w:val="24"/>
          <w:szCs w:val="24"/>
          <w:highlight w:val="none"/>
        </w:rPr>
        <w:t xml:space="preserve">供应商在磋商响应报价时应充分考虑按照《南通市区工程建设领域农民工实名制管理实施细则》中的要求实施时可能发生的一切费用，并计入磋商响应报价，竣工结算时</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不再另行支付此项费用</w:t>
      </w:r>
      <w:r>
        <w:rPr>
          <w:rFonts w:hint="eastAsia" w:ascii="宋体" w:hAnsi="宋体" w:eastAsia="宋体" w:cs="宋体"/>
          <w:sz w:val="24"/>
          <w:szCs w:val="24"/>
          <w:highlight w:val="none"/>
          <w:lang w:eastAsia="zh-CN"/>
        </w:rPr>
        <w:t xml:space="preserve">，如未实施，则由采购单位在结算中扣除。</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（38）</w:t>
      </w:r>
      <w:r>
        <w:rPr>
          <w:rFonts w:hint="eastAsia" w:ascii="宋体" w:hAnsi="宋体" w:eastAsia="宋体" w:cs="宋体"/>
          <w:sz w:val="24"/>
          <w:szCs w:val="24"/>
          <w:highlight w:val="none"/>
        </w:rPr>
        <w:t xml:space="preserve">供应商工地踏勘应充分了解工地位置情况，道路、储存空间、装卸限制及任何其它足以影响报价的情况，任何忽视或误解工地情况而导致的索赔及工期延长申请将不被批准。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39）</w:t>
      </w:r>
      <w:r>
        <w:rPr>
          <w:rFonts w:hint="eastAsia" w:ascii="宋体" w:hAnsi="宋体" w:eastAsia="宋体" w:cs="宋体"/>
          <w:sz w:val="24"/>
          <w:szCs w:val="24"/>
          <w:highlight w:val="none"/>
        </w:rPr>
        <w:t xml:space="preserve">建筑工程一切险或安装工程一切险，由成交供应商投保。成交供应商要为其施工现场的全部人员（包括其员工及为履行合同聘请的第三方人员）办理意外伤害保险并支付保险费。费用列入磋商响应报价中，且一次性包死，结算时不作调整。</w:t>
      </w:r>
      <w:r/>
    </w:p>
    <w:p>
      <w:pPr>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成交供应商须在工程竣工前拆除现场所有临时设施，包括所有的机械设备、硬化场地后的拆除等建筑垃圾及剩余材料全部清运出场，相关费用由各供应商在报价时自行考虑到磋商响应报价中，竣工结算时不作任何调整。清理标准应得到采购单位的认可，否则，如发生相关费用则</w:t>
      </w:r>
      <w:r/>
    </w:p>
    <w:p>
      <w:pPr>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rPr>
        <w:t xml:space="preserve">施工时需做好原有建筑、结构、道路、设施、设备等现有成品的保护及清洁工作，所涉费用磋商响应报价时充分考虑，结算时不作调整。如施工时损坏或者发生污损，应按不低于原标准修复及清洁，或按目前市场价值（人工）赔付，另外造成损失的按实赔付，相关费用采购单位有权在工程款中直接扣除。 </w:t>
      </w:r>
      <w:r/>
    </w:p>
    <w:p>
      <w:pPr>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42</w:t>
      </w:r>
      <w:r>
        <w:rPr>
          <w:rFonts w:hint="eastAsia" w:ascii="宋体" w:hAnsi="宋体" w:cs="宋体"/>
          <w:color w:val="000000"/>
          <w:sz w:val="24"/>
          <w:highlight w:val="none"/>
        </w:rPr>
        <w:t xml:space="preserve">）</w:t>
      </w:r>
      <w:r>
        <w:rPr>
          <w:rFonts w:hint="eastAsia" w:ascii="宋体" w:hAnsi="宋体" w:eastAsia="宋体" w:cs="宋体"/>
          <w:sz w:val="24"/>
          <w:szCs w:val="24"/>
          <w:highlight w:val="none"/>
        </w:rPr>
        <w:t xml:space="preserve">其他未尽事宜在</w:t>
      </w:r>
      <w:r>
        <w:rPr>
          <w:rFonts w:hint="eastAsia" w:ascii="宋体" w:hAnsi="宋体" w:eastAsia="宋体" w:cs="宋体"/>
          <w:sz w:val="24"/>
          <w:szCs w:val="24"/>
          <w:highlight w:val="none"/>
          <w:lang w:eastAsia="zh-CN"/>
        </w:rPr>
        <w:t xml:space="preserve">补充通知及合同条款</w:t>
      </w:r>
      <w:r>
        <w:rPr>
          <w:rFonts w:hint="eastAsia" w:ascii="宋体" w:hAnsi="宋体" w:eastAsia="宋体" w:cs="宋体"/>
          <w:sz w:val="24"/>
          <w:szCs w:val="24"/>
          <w:highlight w:val="none"/>
        </w:rPr>
        <w:t xml:space="preserve">中明确。如磋商文件或合同文件未提及，则由双方协商解决处理。</w:t>
      </w:r>
      <w:r/>
    </w:p>
    <w:p>
      <w:pPr>
        <w:ind w:firstLine="56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（四）采购标的数量、采购项目交付或者实施的时间和地点</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1、采购需求清单：详见附件（工程量清单、图纸）。</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2、实施时间：</w:t>
      </w:r>
      <w:r>
        <w:rPr>
          <w:rFonts w:hint="eastAsia" w:ascii="宋体" w:hAnsi="宋体" w:cs="宋体"/>
          <w:color w:val="000000"/>
          <w:sz w:val="24"/>
          <w:highlight w:val="none"/>
          <w:lang w:val="en-US" w:eastAsia="zh-CN"/>
        </w:rPr>
        <w:t xml:space="preserve">45</w:t>
      </w:r>
      <w:r>
        <w:rPr>
          <w:rFonts w:hint="eastAsia" w:ascii="宋体" w:hAnsi="宋体" w:cs="宋体"/>
          <w:color w:val="000000"/>
          <w:sz w:val="24"/>
          <w:highlight w:val="none"/>
        </w:rPr>
        <w:t xml:space="preserve">日历天内完工并通过验收，开工日期以发包人签发的书面开工通知为准。</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3、交付地点：采购单位指定的地点。</w:t>
      </w:r>
      <w:r/>
    </w:p>
    <w:p>
      <w:pPr>
        <w:ind w:firstLine="562"/>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（五）采购标的需满足的服务标准、期限、效率等要求</w:t>
      </w:r>
      <w:r/>
    </w:p>
    <w:p>
      <w:pPr>
        <w:ind w:firstLine="56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口腔科专用负压吸引系统详细说明</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口腔科专用负压吸引系统的负压源来自牙科电动抽吸机组，通过牙科电动抽吸机组的工作使系统产生负压，经过管道输送至各口腔科牙床处。</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 </w:t>
      </w:r>
      <w:r>
        <w:rPr>
          <w:rFonts w:hint="eastAsia" w:ascii="宋体" w:hAnsi="宋体" w:cs="宋体"/>
          <w:color w:val="000000"/>
          <w:sz w:val="24"/>
          <w:highlight w:val="none"/>
        </w:rPr>
        <w:t xml:space="preserve">口腔科负压吸引站：</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1口腔科负压吸引站位置设在一层。</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.2口腔科负压吸引站选用下列设备：</w:t>
      </w:r>
      <w:r/>
    </w:p>
    <w:tbl>
      <w:tblPr>
        <w:tblStyle w:val="6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986"/>
        <w:gridCol w:w="4248"/>
        <w:gridCol w:w="1016"/>
        <w:gridCol w:w="1016"/>
      </w:tblGrid>
      <w:tr>
        <w:trPr>
          <w:jc w:val="center"/>
          <w:trHeight w:val="459"/>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424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699"/>
        </w:trPr>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口腔科抽吸机组</w:t>
            </w:r>
            <w:r/>
          </w:p>
        </w:tc>
        <w:tc>
          <w:tcPr>
            <w:tcBorders>
              <w:top w:val="single" w:color="auto" w:sz="4" w:space="0"/>
              <w:left w:val="single" w:color="auto" w:sz="4" w:space="0"/>
              <w:bottom w:val="single" w:color="auto" w:sz="4" w:space="0"/>
              <w:right w:val="single" w:color="auto" w:sz="4" w:space="0"/>
            </w:tcBorders>
            <w:tcW w:w="4248" w:type="dxa"/>
            <w:vAlign w:val="center"/>
            <w:textDirection w:val="lrTb"/>
            <w:noWrap w:val="false"/>
          </w:tcPr>
          <w:p>
            <w:pPr>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额定抽速≥350m³/h;极限真空≤-220mbar； </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1套</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3主要技术参数：</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口腔科负压吸引站最大抽气量：≥350m³/h</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口腔科负压吸引站房所需总功率：≤6kW</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压力调节范围</w:t>
      </w:r>
      <w:r>
        <w:rPr>
          <w:rFonts w:hint="eastAsia" w:ascii="宋体" w:hAnsi="宋体" w:cs="宋体"/>
          <w:color w:val="000000"/>
          <w:sz w:val="24"/>
          <w:highlight w:val="none"/>
          <w:lang w:eastAsia="zh-CN"/>
        </w:rPr>
        <w:t xml:space="preserve">：</w:t>
      </w:r>
      <w:r>
        <w:rPr>
          <w:rFonts w:hint="eastAsia" w:ascii="宋体" w:hAnsi="宋体"/>
          <w:szCs w:val="21"/>
          <w:highlight w:val="none"/>
        </w:rPr>
        <w:t xml:space="preserve">≥</w:t>
      </w:r>
      <w:r>
        <w:rPr>
          <w:rFonts w:hint="eastAsia" w:ascii="宋体" w:hAnsi="宋体" w:cs="宋体"/>
          <w:color w:val="000000"/>
          <w:szCs w:val="21"/>
          <w:highlight w:val="none"/>
        </w:rPr>
        <w:t xml:space="preserve">-25kpa</w:t>
      </w:r>
      <w:r>
        <w:rPr>
          <w:rFonts w:hint="eastAsia" w:ascii="宋体" w:hAnsi="宋体" w:cs="宋体"/>
          <w:color w:val="000000"/>
          <w:sz w:val="24"/>
          <w:highlight w:val="none"/>
        </w:rPr>
        <w:t xml:space="preserve">(可调)</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系统小时增压率：≤1.0%（行业标准为1.8%）</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吸引管道应可靠接地，接地电阻应小于10欧姆</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电控柜的绝缘电阻不小于2MΩ</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由排气口排出的空气每立方细菌数不超过500个。</w:t>
      </w:r>
      <w:r/>
    </w:p>
    <w:p>
      <w:p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细菌过滤器技术参数：采用1套细菌过滤器，单套≥5000L/Min,符合以下参数：</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（1）细菌过滤器采用外壳不锈钢，下吸上抽方式，以减少液体滞留和细菌滋生，</w:t>
      </w:r>
      <w:r>
        <w:rPr>
          <w:rFonts w:hint="eastAsia" w:ascii="宋体" w:hAnsi="宋体" w:cs="宋体"/>
          <w:color w:val="000000"/>
          <w:sz w:val="24"/>
          <w:highlight w:val="none"/>
          <w:lang w:eastAsia="zh-CN"/>
        </w:rPr>
        <w:t xml:space="preserve">须提供第三</w:t>
      </w:r>
      <w:r>
        <w:rPr>
          <w:rFonts w:hint="eastAsia" w:ascii="宋体" w:hAnsi="宋体" w:cs="宋体"/>
          <w:color w:val="000000"/>
          <w:sz w:val="24"/>
          <w:highlight w:val="none"/>
          <w:lang w:val="en-US" w:eastAsia="zh-CN"/>
        </w:rPr>
        <w:t xml:space="preserve">方</w:t>
      </w:r>
      <w:r>
        <w:rPr>
          <w:rFonts w:hint="eastAsia" w:ascii="宋体" w:hAnsi="宋体" w:cs="宋体"/>
          <w:color w:val="000000"/>
          <w:sz w:val="24"/>
          <w:highlight w:val="none"/>
          <w:lang w:eastAsia="zh-CN"/>
        </w:rPr>
        <w:t xml:space="preserve">机构出具的</w:t>
      </w:r>
      <w:r>
        <w:rPr>
          <w:rFonts w:hint="eastAsia" w:ascii="宋体" w:hAnsi="宋体" w:cs="宋体"/>
          <w:color w:val="000000"/>
          <w:sz w:val="24"/>
          <w:highlight w:val="none"/>
        </w:rPr>
        <w:t xml:space="preserve">检测报告</w:t>
      </w:r>
      <w:r>
        <w:rPr>
          <w:rFonts w:hint="eastAsia" w:ascii="宋体" w:hAnsi="宋体" w:cs="宋体"/>
          <w:color w:val="000000"/>
          <w:sz w:val="24"/>
          <w:highlight w:val="none"/>
          <w:lang w:eastAsia="zh-CN"/>
        </w:rPr>
        <w:t xml:space="preserve">或“设备进场时提供符合要求的检测报告”承诺书。</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（2）滤芯符合 ISO 8573.1 一级要求0.01μm 的过滤效率，0.01~0.2μm 过滤效率＞99.995%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t xml:space="preserve">须提供第三</w:t>
      </w:r>
      <w:r>
        <w:rPr>
          <w:rFonts w:hint="eastAsia" w:ascii="宋体" w:hAnsi="宋体" w:cs="宋体"/>
          <w:color w:val="000000"/>
          <w:sz w:val="24"/>
          <w:highlight w:val="none"/>
          <w:lang w:val="en-US" w:eastAsia="zh-CN"/>
        </w:rPr>
        <w:t xml:space="preserve">方</w:t>
      </w:r>
      <w:r>
        <w:rPr>
          <w:rFonts w:hint="eastAsia" w:ascii="宋体" w:hAnsi="宋体" w:cs="宋体"/>
          <w:color w:val="000000"/>
          <w:sz w:val="24"/>
          <w:highlight w:val="none"/>
          <w:lang w:eastAsia="zh-CN"/>
        </w:rPr>
        <w:t xml:space="preserve">机构出具的</w:t>
      </w:r>
      <w:r>
        <w:rPr>
          <w:rFonts w:hint="eastAsia" w:ascii="宋体" w:hAnsi="宋体" w:cs="宋体"/>
          <w:color w:val="000000"/>
          <w:sz w:val="24"/>
          <w:highlight w:val="none"/>
        </w:rPr>
        <w:t xml:space="preserve">检测报告</w:t>
      </w:r>
      <w:r>
        <w:rPr>
          <w:rFonts w:hint="eastAsia" w:ascii="宋体" w:hAnsi="宋体" w:cs="宋体"/>
          <w:color w:val="000000"/>
          <w:sz w:val="24"/>
          <w:highlight w:val="none"/>
          <w:lang w:eastAsia="zh-CN"/>
        </w:rPr>
        <w:t xml:space="preserve">或“设备进场时提供符合要求的检测报告”承诺书。</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（3）细菌过滤器按照 GB 50751-2012 规范的标准，精度 0.01~0.2μm，过滤效率＞99.995%，</w:t>
      </w:r>
      <w:r>
        <w:rPr>
          <w:rFonts w:hint="eastAsia" w:ascii="宋体" w:hAnsi="宋体" w:cs="宋体"/>
          <w:color w:val="000000"/>
          <w:sz w:val="24"/>
          <w:highlight w:val="none"/>
          <w:lang w:eastAsia="zh-CN"/>
        </w:rPr>
        <w:t xml:space="preserve">须提供第三</w:t>
      </w:r>
      <w:r>
        <w:rPr>
          <w:rFonts w:hint="eastAsia" w:ascii="宋体" w:hAnsi="宋体" w:cs="宋体"/>
          <w:color w:val="000000"/>
          <w:sz w:val="24"/>
          <w:highlight w:val="none"/>
          <w:lang w:val="en-US" w:eastAsia="zh-CN"/>
        </w:rPr>
        <w:t xml:space="preserve">方</w:t>
      </w:r>
      <w:r>
        <w:rPr>
          <w:rFonts w:hint="eastAsia" w:ascii="宋体" w:hAnsi="宋体" w:cs="宋体"/>
          <w:color w:val="000000"/>
          <w:sz w:val="24"/>
          <w:highlight w:val="none"/>
          <w:lang w:eastAsia="zh-CN"/>
        </w:rPr>
        <w:t xml:space="preserve">机构出具的</w:t>
      </w:r>
      <w:r>
        <w:rPr>
          <w:rFonts w:hint="eastAsia" w:ascii="宋体" w:hAnsi="宋体" w:cs="宋体"/>
          <w:color w:val="000000"/>
          <w:sz w:val="24"/>
          <w:highlight w:val="none"/>
        </w:rPr>
        <w:t xml:space="preserve">检测报告</w:t>
      </w:r>
      <w:r>
        <w:rPr>
          <w:rFonts w:hint="eastAsia" w:ascii="宋体" w:hAnsi="宋体" w:cs="宋体"/>
          <w:color w:val="000000"/>
          <w:sz w:val="24"/>
          <w:highlight w:val="none"/>
          <w:lang w:eastAsia="zh-CN"/>
        </w:rPr>
        <w:t xml:space="preserve">或“设备进场时提供符合要求的检测报告”承诺书。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自动控制箱，预留牙椅信号启动干接点；声光报警，</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口腔科负压吸引管道</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2.1管道材质</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口腔科负压吸引管道采用优质UPVC管。</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2.2管道规格：参照图纸。</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2.3管道连接：</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UPVC管连接接采用UPVC管件承插粘接，可保证气密性。</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2.4管道布置：</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口腔科负压抽吸管道在一层吊顶内敷设，穿二层楼板接口腔椅处。</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 </w:t>
      </w:r>
      <w:r>
        <w:rPr>
          <w:rFonts w:hint="eastAsia" w:ascii="宋体" w:hAnsi="宋体" w:cs="宋体"/>
          <w:color w:val="000000"/>
          <w:sz w:val="24"/>
          <w:highlight w:val="none"/>
        </w:rPr>
        <w:t xml:space="preserve">吸引系统技术参数：</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吸引系统保证管内压力在任何情况下，不能高于环境压力。</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工作压力：-15KPa至－22KPa。</w:t>
      </w:r>
      <w:r/>
    </w:p>
    <w:p>
      <w:pPr>
        <w:ind w:firstLine="11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牙椅处抽气速率不低于300L/min。</w:t>
      </w:r>
      <w:r/>
    </w:p>
    <w:p>
      <w:pPr>
        <w:ind w:firstLine="482"/>
        <w:jc w:val="left"/>
        <w:spacing w:line="360" w:lineRule="auto"/>
        <w:rPr>
          <w:rFonts w:ascii="宋体" w:hAnsi="宋体" w:eastAsia="宋体"/>
          <w:b/>
          <w:bCs/>
          <w:sz w:val="24"/>
          <w:highlight w:val="none"/>
        </w:rPr>
      </w:pPr>
      <w:r>
        <w:rPr>
          <w:rFonts w:hint="eastAsia" w:ascii="宋体" w:hAnsi="宋体" w:eastAsia="宋体"/>
          <w:b/>
          <w:bCs/>
          <w:sz w:val="24"/>
          <w:highlight w:val="none"/>
          <w:lang w:val="en-US" w:eastAsia="zh-CN"/>
        </w:rPr>
        <w:t xml:space="preserve">2</w:t>
      </w:r>
      <w:r>
        <w:rPr>
          <w:rFonts w:hint="eastAsia" w:ascii="宋体" w:hAnsi="宋体" w:eastAsia="宋体"/>
          <w:b/>
          <w:bCs/>
          <w:sz w:val="24"/>
          <w:highlight w:val="none"/>
        </w:rPr>
        <w:t xml:space="preserve">、</w:t>
      </w:r>
      <w:r>
        <w:rPr>
          <w:rFonts w:hint="eastAsia" w:ascii="宋体" w:hAnsi="宋体"/>
          <w:b/>
          <w:bCs/>
          <w:sz w:val="24"/>
          <w:highlight w:val="none"/>
        </w:rPr>
        <w:t xml:space="preserve">口腔科</w:t>
      </w:r>
      <w:r>
        <w:rPr>
          <w:rFonts w:hint="eastAsia" w:ascii="宋体" w:hAnsi="宋体" w:eastAsia="宋体"/>
          <w:b/>
          <w:bCs/>
          <w:sz w:val="24"/>
          <w:highlight w:val="none"/>
        </w:rPr>
        <w:t xml:space="preserve">用压缩空气系统详细说明：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口腔科用压缩空气系统适用于医院的新建、扩建和改建工程，它是专为各类医院的口腔科提供器械用空气，作为推动设备工作的气源。</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 </w:t>
      </w:r>
      <w:r>
        <w:rPr>
          <w:rFonts w:hint="eastAsia" w:ascii="宋体" w:hAnsi="宋体" w:cs="宋体"/>
          <w:color w:val="000000"/>
          <w:sz w:val="24"/>
          <w:highlight w:val="none"/>
        </w:rPr>
        <w:t xml:space="preserve">口腔科压缩空气站</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1.1配置</w:t>
      </w:r>
      <w:r>
        <w:rPr>
          <w:rFonts w:hint="eastAsia" w:ascii="宋体" w:hAnsi="宋体" w:cs="宋体"/>
          <w:color w:val="000000"/>
          <w:sz w:val="24"/>
          <w:szCs w:val="24"/>
          <w:highlight w:val="none"/>
        </w:rPr>
        <w:t xml:space="preserve">如下:</w:t>
      </w:r>
      <w:r/>
    </w:p>
    <w:tbl>
      <w:tblPr>
        <w:tblStyle w:val="6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471"/>
        <w:gridCol w:w="4358"/>
        <w:gridCol w:w="1306"/>
      </w:tblGrid>
      <w:tr>
        <w:trPr>
          <w:cantSplit/>
          <w:jc w:val="center"/>
          <w:trHeight w:val="479"/>
        </w:trPr>
        <w:tc>
          <w:tcPr>
            <w:tcW w:w="90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序号</w:t>
            </w:r>
            <w:r/>
          </w:p>
        </w:tc>
        <w:tc>
          <w:tcPr>
            <w:tcW w:w="247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设备名称</w:t>
            </w:r>
            <w:r/>
          </w:p>
        </w:tc>
        <w:tc>
          <w:tcPr>
            <w:tcW w:w="435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技术参数</w:t>
            </w:r>
            <w:r/>
          </w:p>
        </w:tc>
        <w:tc>
          <w:tcPr>
            <w:tcW w:w="1306"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数量</w:t>
            </w:r>
            <w:r/>
          </w:p>
        </w:tc>
      </w:tr>
      <w:tr>
        <w:trPr>
          <w:cantSplit/>
          <w:jc w:val="center"/>
          <w:trHeight w:val="644"/>
        </w:trPr>
        <w:tc>
          <w:tcPr>
            <w:tcW w:w="901" w:type="dxa"/>
            <w:vAlign w:val="center"/>
            <w:textDirection w:val="lrTb"/>
            <w:noWrap w:val="false"/>
          </w:tcPr>
          <w:p>
            <w:pPr>
              <w:jc w:val="center"/>
              <w:spacing w:line="240" w:lineRule="auto"/>
              <w:rPr>
                <w:rFonts w:ascii="宋体" w:hAnsi="宋体"/>
                <w:bCs/>
                <w:sz w:val="24"/>
                <w:szCs w:val="24"/>
                <w:highlight w:val="none"/>
              </w:rPr>
            </w:pPr>
            <w:r>
              <w:rPr>
                <w:rFonts w:hint="eastAsia" w:ascii="宋体" w:hAnsi="宋体"/>
                <w:bCs/>
                <w:sz w:val="24"/>
                <w:szCs w:val="24"/>
                <w:highlight w:val="none"/>
              </w:rPr>
              <w:t xml:space="preserve">1</w:t>
            </w:r>
            <w:r/>
          </w:p>
        </w:tc>
        <w:tc>
          <w:tcPr>
            <w:tcW w:w="2471" w:type="dxa"/>
            <w:vAlign w:val="center"/>
            <w:textDirection w:val="lrTb"/>
            <w:noWrap w:val="false"/>
          </w:tcPr>
          <w:p>
            <w:pPr>
              <w:jc w:val="center"/>
              <w:spacing w:line="240" w:lineRule="auto"/>
              <w:rPr>
                <w:rFonts w:ascii="宋体" w:hAnsi="宋体" w:cs="宋体"/>
                <w:sz w:val="24"/>
                <w:szCs w:val="24"/>
                <w:highlight w:val="none"/>
              </w:rPr>
            </w:pPr>
            <w:r>
              <w:rPr>
                <w:rFonts w:hint="eastAsia" w:ascii="宋体" w:hAnsi="宋体" w:cs="宋体"/>
                <w:sz w:val="24"/>
                <w:szCs w:val="24"/>
                <w:highlight w:val="none"/>
              </w:rPr>
              <w:t xml:space="preserve">牙科电动</w:t>
            </w:r>
            <w:r/>
          </w:p>
          <w:p>
            <w:pPr>
              <w:jc w:val="center"/>
              <w:spacing w:line="240" w:lineRule="auto"/>
              <w:rPr>
                <w:rFonts w:ascii="宋体" w:hAnsi="宋体" w:eastAsia="等线"/>
                <w:sz w:val="24"/>
                <w:szCs w:val="24"/>
                <w:highlight w:val="none"/>
              </w:rPr>
            </w:pPr>
            <w:r>
              <w:rPr>
                <w:rFonts w:hint="eastAsia" w:ascii="宋体" w:hAnsi="宋体" w:cs="宋体"/>
                <w:sz w:val="24"/>
                <w:szCs w:val="24"/>
                <w:highlight w:val="none"/>
              </w:rPr>
              <w:t xml:space="preserve">无油空压</w:t>
            </w:r>
            <w:r>
              <w:rPr>
                <w:rFonts w:hint="eastAsia" w:ascii="宋体" w:hAnsi="宋体" w:eastAsia="宋体" w:cs="宋体"/>
                <w:sz w:val="24"/>
                <w:szCs w:val="24"/>
                <w:highlight w:val="none"/>
              </w:rPr>
              <w:t xml:space="preserve">机组</w:t>
            </w:r>
            <w:r/>
          </w:p>
        </w:tc>
        <w:tc>
          <w:tcPr>
            <w:tcW w:w="435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bCs/>
                <w:sz w:val="24"/>
                <w:szCs w:val="24"/>
                <w:highlight w:val="none"/>
              </w:rPr>
              <w:t xml:space="preserve">排气量≥0.</w:t>
            </w:r>
            <w:r>
              <w:rPr>
                <w:rFonts w:hint="eastAsia" w:ascii="宋体" w:hAnsi="宋体" w:eastAsia="等线"/>
                <w:bCs/>
                <w:sz w:val="24"/>
                <w:szCs w:val="24"/>
                <w:highlight w:val="none"/>
              </w:rPr>
              <w:t xml:space="preserve">8</w:t>
            </w:r>
            <w:r>
              <w:rPr>
                <w:rFonts w:hint="eastAsia" w:ascii="宋体" w:hAnsi="宋体"/>
                <w:sz w:val="24"/>
                <w:szCs w:val="24"/>
                <w:highlight w:val="none"/>
              </w:rPr>
              <w:t xml:space="preserve">m</w:t>
            </w:r>
            <w:r>
              <w:rPr>
                <w:rFonts w:hint="eastAsia" w:ascii="宋体" w:hAnsi="宋体"/>
                <w:sz w:val="24"/>
                <w:szCs w:val="24"/>
                <w:highlight w:val="none"/>
                <w:vertAlign w:val="superscript"/>
              </w:rPr>
              <w:t xml:space="preserve">3</w:t>
            </w:r>
            <w:r>
              <w:rPr>
                <w:rFonts w:hint="eastAsia" w:ascii="宋体" w:hAnsi="宋体"/>
                <w:sz w:val="24"/>
                <w:szCs w:val="24"/>
                <w:highlight w:val="none"/>
              </w:rPr>
              <w:t xml:space="preserve">/min，工作压力</w:t>
            </w:r>
            <w:r>
              <w:rPr>
                <w:rFonts w:hint="eastAsia" w:ascii="宋体" w:hAnsi="宋体"/>
                <w:bCs/>
                <w:sz w:val="24"/>
                <w:szCs w:val="24"/>
                <w:highlight w:val="none"/>
              </w:rPr>
              <w:t xml:space="preserve">≥</w:t>
            </w:r>
            <w:r>
              <w:rPr>
                <w:rFonts w:hint="eastAsia" w:ascii="宋体" w:hAnsi="宋体"/>
                <w:sz w:val="24"/>
                <w:szCs w:val="24"/>
                <w:highlight w:val="none"/>
              </w:rPr>
              <w:t xml:space="preserve">0.8MPa</w:t>
            </w:r>
            <w:r/>
          </w:p>
        </w:tc>
        <w:tc>
          <w:tcPr>
            <w:tcW w:w="1306" w:type="dxa"/>
            <w:vAlign w:val="center"/>
            <w:textDirection w:val="lrTb"/>
            <w:noWrap w:val="false"/>
          </w:tcPr>
          <w:p>
            <w:pPr>
              <w:jc w:val="center"/>
              <w:spacing w:line="240" w:lineRule="auto"/>
              <w:rPr>
                <w:rFonts w:hint="eastAsia" w:ascii="宋体" w:hAnsi="宋体" w:eastAsia="等线"/>
                <w:sz w:val="24"/>
                <w:szCs w:val="24"/>
                <w:highlight w:val="none"/>
              </w:rPr>
            </w:pPr>
            <w:r>
              <w:rPr>
                <w:rFonts w:hint="eastAsia" w:ascii="宋体" w:hAnsi="宋体" w:eastAsia="等线"/>
                <w:sz w:val="24"/>
                <w:szCs w:val="24"/>
                <w:highlight w:val="none"/>
              </w:rPr>
              <w:t xml:space="preserve">1套</w:t>
            </w:r>
            <w:r/>
          </w:p>
        </w:tc>
      </w:tr>
      <w:tr>
        <w:trPr>
          <w:cantSplit/>
          <w:jc w:val="center"/>
          <w:trHeight w:val="534"/>
        </w:trPr>
        <w:tc>
          <w:tcPr>
            <w:tcW w:w="90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2</w:t>
            </w:r>
            <w:r/>
          </w:p>
        </w:tc>
        <w:tc>
          <w:tcPr>
            <w:tcW w:w="247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cs="宋体"/>
                <w:sz w:val="24"/>
                <w:szCs w:val="24"/>
                <w:highlight w:val="none"/>
              </w:rPr>
              <w:t xml:space="preserve">冷冻式干燥机</w:t>
            </w:r>
            <w:r/>
          </w:p>
        </w:tc>
        <w:tc>
          <w:tcPr>
            <w:tcW w:w="435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bCs/>
                <w:sz w:val="24"/>
                <w:szCs w:val="24"/>
                <w:highlight w:val="none"/>
              </w:rPr>
              <w:t xml:space="preserve">处理量≥</w:t>
            </w:r>
            <w:r>
              <w:rPr>
                <w:rFonts w:hint="eastAsia" w:ascii="宋体" w:hAnsi="宋体" w:eastAsia="等线"/>
                <w:bCs/>
                <w:sz w:val="24"/>
                <w:szCs w:val="24"/>
                <w:highlight w:val="none"/>
              </w:rPr>
              <w:t xml:space="preserve">1</w:t>
            </w:r>
            <w:r>
              <w:rPr>
                <w:rFonts w:hint="eastAsia" w:ascii="宋体" w:hAnsi="宋体"/>
                <w:bCs/>
                <w:sz w:val="24"/>
                <w:szCs w:val="24"/>
                <w:highlight w:val="none"/>
              </w:rPr>
              <w:t xml:space="preserve">.</w:t>
            </w:r>
            <w:r>
              <w:rPr>
                <w:rFonts w:hint="eastAsia" w:ascii="宋体" w:hAnsi="宋体" w:eastAsia="等线"/>
                <w:bCs/>
                <w:sz w:val="24"/>
                <w:szCs w:val="24"/>
                <w:highlight w:val="none"/>
              </w:rPr>
              <w:t xml:space="preserve">2</w:t>
            </w:r>
            <w:r>
              <w:rPr>
                <w:rFonts w:hint="eastAsia" w:ascii="宋体" w:hAnsi="宋体"/>
                <w:sz w:val="24"/>
                <w:szCs w:val="24"/>
                <w:highlight w:val="none"/>
              </w:rPr>
              <w:t xml:space="preserve">m</w:t>
            </w:r>
            <w:r>
              <w:rPr>
                <w:rFonts w:hint="eastAsia" w:ascii="宋体" w:hAnsi="宋体"/>
                <w:sz w:val="24"/>
                <w:szCs w:val="24"/>
                <w:highlight w:val="none"/>
                <w:vertAlign w:val="superscript"/>
              </w:rPr>
              <w:t xml:space="preserve">3</w:t>
            </w:r>
            <w:r>
              <w:rPr>
                <w:rFonts w:hint="eastAsia" w:ascii="宋体" w:hAnsi="宋体"/>
                <w:sz w:val="24"/>
                <w:szCs w:val="24"/>
                <w:highlight w:val="none"/>
              </w:rPr>
              <w:t xml:space="preserve">/min</w:t>
            </w:r>
            <w:r/>
          </w:p>
        </w:tc>
        <w:tc>
          <w:tcPr>
            <w:tcW w:w="1306"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eastAsia="等线"/>
                <w:sz w:val="24"/>
                <w:szCs w:val="24"/>
                <w:highlight w:val="none"/>
              </w:rPr>
              <w:t xml:space="preserve">1</w:t>
            </w:r>
            <w:r>
              <w:rPr>
                <w:rFonts w:hint="eastAsia" w:ascii="宋体" w:hAnsi="宋体"/>
                <w:sz w:val="24"/>
                <w:szCs w:val="24"/>
                <w:highlight w:val="none"/>
              </w:rPr>
              <w:t xml:space="preserve">台</w:t>
            </w:r>
            <w:r/>
          </w:p>
        </w:tc>
      </w:tr>
      <w:tr>
        <w:trPr>
          <w:cantSplit/>
          <w:jc w:val="center"/>
          <w:trHeight w:val="541"/>
        </w:trPr>
        <w:tc>
          <w:tcPr>
            <w:tcW w:w="90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3</w:t>
            </w:r>
            <w:r/>
          </w:p>
        </w:tc>
        <w:tc>
          <w:tcPr>
            <w:tcW w:w="247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初级过滤器</w:t>
            </w:r>
            <w:r/>
          </w:p>
        </w:tc>
        <w:tc>
          <w:tcPr>
            <w:tcW w:w="435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单机处理量≥0.</w:t>
            </w:r>
            <w:r>
              <w:rPr>
                <w:rFonts w:hint="eastAsia" w:ascii="宋体" w:hAnsi="宋体" w:eastAsia="等线"/>
                <w:sz w:val="24"/>
                <w:szCs w:val="24"/>
                <w:highlight w:val="none"/>
              </w:rPr>
              <w:t xml:space="preserve">8</w:t>
            </w:r>
            <w:r>
              <w:rPr>
                <w:rFonts w:hint="eastAsia" w:ascii="宋体" w:hAnsi="宋体"/>
                <w:sz w:val="24"/>
                <w:szCs w:val="24"/>
                <w:highlight w:val="none"/>
              </w:rPr>
              <w:t xml:space="preserve">m</w:t>
            </w:r>
            <w:r>
              <w:rPr>
                <w:rFonts w:hint="eastAsia" w:ascii="宋体" w:hAnsi="宋体"/>
                <w:sz w:val="24"/>
                <w:szCs w:val="24"/>
                <w:highlight w:val="none"/>
                <w:vertAlign w:val="superscript"/>
              </w:rPr>
              <w:t xml:space="preserve">3</w:t>
            </w:r>
            <w:r>
              <w:rPr>
                <w:rFonts w:hint="eastAsia" w:ascii="宋体" w:hAnsi="宋体"/>
                <w:sz w:val="24"/>
                <w:szCs w:val="24"/>
                <w:highlight w:val="none"/>
              </w:rPr>
              <w:t xml:space="preserve">/min</w:t>
            </w:r>
            <w:r/>
          </w:p>
        </w:tc>
        <w:tc>
          <w:tcPr>
            <w:tcW w:w="1306"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eastAsia="等线"/>
                <w:sz w:val="24"/>
                <w:szCs w:val="24"/>
                <w:highlight w:val="none"/>
              </w:rPr>
              <w:t xml:space="preserve">1</w:t>
            </w:r>
            <w:r>
              <w:rPr>
                <w:rFonts w:hint="eastAsia" w:ascii="宋体" w:hAnsi="宋体"/>
                <w:sz w:val="24"/>
                <w:szCs w:val="24"/>
                <w:highlight w:val="none"/>
              </w:rPr>
              <w:t xml:space="preserve">台</w:t>
            </w:r>
            <w:r/>
          </w:p>
        </w:tc>
      </w:tr>
      <w:tr>
        <w:trPr>
          <w:cantSplit/>
          <w:jc w:val="center"/>
          <w:trHeight w:val="522"/>
        </w:trPr>
        <w:tc>
          <w:tcPr>
            <w:tcW w:w="90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4</w:t>
            </w:r>
            <w:r/>
          </w:p>
        </w:tc>
        <w:tc>
          <w:tcPr>
            <w:tcW w:w="247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高效过滤器</w:t>
            </w:r>
            <w:r/>
          </w:p>
        </w:tc>
        <w:tc>
          <w:tcPr>
            <w:tcW w:w="435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单机处理量≥0.</w:t>
            </w:r>
            <w:r>
              <w:rPr>
                <w:rFonts w:hint="eastAsia" w:ascii="宋体" w:hAnsi="宋体" w:eastAsia="等线"/>
                <w:sz w:val="24"/>
                <w:szCs w:val="24"/>
                <w:highlight w:val="none"/>
              </w:rPr>
              <w:t xml:space="preserve">8</w:t>
            </w:r>
            <w:r>
              <w:rPr>
                <w:rFonts w:hint="eastAsia" w:ascii="宋体" w:hAnsi="宋体"/>
                <w:sz w:val="24"/>
                <w:szCs w:val="24"/>
                <w:highlight w:val="none"/>
              </w:rPr>
              <w:t xml:space="preserve">m</w:t>
            </w:r>
            <w:r>
              <w:rPr>
                <w:rFonts w:hint="eastAsia" w:ascii="宋体" w:hAnsi="宋体"/>
                <w:sz w:val="24"/>
                <w:szCs w:val="24"/>
                <w:highlight w:val="none"/>
                <w:vertAlign w:val="superscript"/>
              </w:rPr>
              <w:t xml:space="preserve">3</w:t>
            </w:r>
            <w:r>
              <w:rPr>
                <w:rFonts w:hint="eastAsia" w:ascii="宋体" w:hAnsi="宋体"/>
                <w:sz w:val="24"/>
                <w:szCs w:val="24"/>
                <w:highlight w:val="none"/>
              </w:rPr>
              <w:t xml:space="preserve">/min</w:t>
            </w:r>
            <w:r/>
          </w:p>
        </w:tc>
        <w:tc>
          <w:tcPr>
            <w:tcW w:w="1306"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eastAsia="等线"/>
                <w:sz w:val="24"/>
                <w:szCs w:val="24"/>
                <w:highlight w:val="none"/>
              </w:rPr>
              <w:t xml:space="preserve">1</w:t>
            </w:r>
            <w:r>
              <w:rPr>
                <w:rFonts w:hint="eastAsia" w:ascii="宋体" w:hAnsi="宋体"/>
                <w:sz w:val="24"/>
                <w:szCs w:val="24"/>
                <w:highlight w:val="none"/>
              </w:rPr>
              <w:t xml:space="preserve">台</w:t>
            </w:r>
            <w:r/>
          </w:p>
        </w:tc>
      </w:tr>
      <w:tr>
        <w:trPr>
          <w:cantSplit/>
          <w:jc w:val="center"/>
          <w:trHeight w:val="426"/>
        </w:trPr>
        <w:tc>
          <w:tcPr>
            <w:tcW w:w="90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5</w:t>
            </w:r>
            <w:r/>
          </w:p>
        </w:tc>
        <w:tc>
          <w:tcPr>
            <w:tcW w:w="247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活性炭过滤器</w:t>
            </w:r>
            <w:r/>
          </w:p>
        </w:tc>
        <w:tc>
          <w:tcPr>
            <w:tcW w:w="435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单机处理量≥0.</w:t>
            </w:r>
            <w:r>
              <w:rPr>
                <w:rFonts w:hint="eastAsia" w:ascii="宋体" w:hAnsi="宋体" w:eastAsia="等线"/>
                <w:sz w:val="24"/>
                <w:szCs w:val="24"/>
                <w:highlight w:val="none"/>
              </w:rPr>
              <w:t xml:space="preserve">8</w:t>
            </w:r>
            <w:r>
              <w:rPr>
                <w:rFonts w:hint="eastAsia" w:ascii="宋体" w:hAnsi="宋体"/>
                <w:sz w:val="24"/>
                <w:szCs w:val="24"/>
                <w:highlight w:val="none"/>
              </w:rPr>
              <w:t xml:space="preserve">m</w:t>
            </w:r>
            <w:r>
              <w:rPr>
                <w:rFonts w:hint="eastAsia" w:ascii="宋体" w:hAnsi="宋体"/>
                <w:sz w:val="24"/>
                <w:szCs w:val="24"/>
                <w:highlight w:val="none"/>
                <w:vertAlign w:val="superscript"/>
              </w:rPr>
              <w:t xml:space="preserve">3</w:t>
            </w:r>
            <w:r>
              <w:rPr>
                <w:rFonts w:hint="eastAsia" w:ascii="宋体" w:hAnsi="宋体"/>
                <w:sz w:val="24"/>
                <w:szCs w:val="24"/>
                <w:highlight w:val="none"/>
              </w:rPr>
              <w:t xml:space="preserve">/min</w:t>
            </w:r>
            <w:r/>
          </w:p>
        </w:tc>
        <w:tc>
          <w:tcPr>
            <w:tcW w:w="1306"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eastAsia="等线"/>
                <w:sz w:val="24"/>
                <w:szCs w:val="24"/>
                <w:highlight w:val="none"/>
              </w:rPr>
              <w:t xml:space="preserve">1</w:t>
            </w:r>
            <w:r>
              <w:rPr>
                <w:rFonts w:hint="eastAsia" w:ascii="宋体" w:hAnsi="宋体"/>
                <w:sz w:val="24"/>
                <w:szCs w:val="24"/>
                <w:highlight w:val="none"/>
              </w:rPr>
              <w:t xml:space="preserve">台</w:t>
            </w:r>
            <w:r/>
          </w:p>
        </w:tc>
      </w:tr>
      <w:tr>
        <w:trPr>
          <w:cantSplit/>
          <w:jc w:val="center"/>
          <w:trHeight w:val="522"/>
        </w:trPr>
        <w:tc>
          <w:tcPr>
            <w:tcW w:w="901" w:type="dxa"/>
            <w:vAlign w:val="center"/>
            <w:textDirection w:val="lrTb"/>
            <w:noWrap w:val="false"/>
          </w:tcPr>
          <w:p>
            <w:pPr>
              <w:jc w:val="center"/>
              <w:spacing w:line="240" w:lineRule="auto"/>
              <w:rPr>
                <w:rFonts w:hint="eastAsia" w:ascii="宋体" w:hAnsi="宋体" w:eastAsia="等线"/>
                <w:sz w:val="24"/>
                <w:szCs w:val="24"/>
                <w:highlight w:val="none"/>
              </w:rPr>
            </w:pPr>
            <w:r>
              <w:rPr>
                <w:rFonts w:hint="eastAsia" w:ascii="宋体" w:hAnsi="宋体" w:eastAsia="等线"/>
                <w:sz w:val="24"/>
                <w:szCs w:val="24"/>
                <w:highlight w:val="none"/>
              </w:rPr>
              <w:t xml:space="preserve">6</w:t>
            </w:r>
            <w:r/>
          </w:p>
        </w:tc>
        <w:tc>
          <w:tcPr>
            <w:tcW w:w="2471"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缓冲罐</w:t>
            </w:r>
            <w:r/>
          </w:p>
        </w:tc>
        <w:tc>
          <w:tcPr>
            <w:tcW w:w="4358"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容积</w:t>
            </w:r>
            <w:r>
              <w:rPr>
                <w:rFonts w:ascii="宋体" w:hAnsi="宋体" w:eastAsia="宋体" w:cs="宋体"/>
                <w:sz w:val="24"/>
                <w:szCs w:val="24"/>
                <w:highlight w:val="none"/>
              </w:rPr>
              <w:t xml:space="preserve">0.3m</w:t>
            </w:r>
            <w:r>
              <w:rPr>
                <w:rFonts w:hint="eastAsia" w:ascii="宋体" w:hAnsi="宋体" w:eastAsia="宋体" w:cs="宋体"/>
                <w:sz w:val="24"/>
                <w:szCs w:val="24"/>
                <w:highlight w:val="none"/>
              </w:rPr>
              <w:t xml:space="preserve">³，压力：</w:t>
            </w:r>
            <w:r>
              <w:rPr>
                <w:rFonts w:ascii="宋体" w:hAnsi="宋体" w:eastAsia="宋体" w:cs="宋体"/>
                <w:sz w:val="24"/>
                <w:szCs w:val="24"/>
                <w:highlight w:val="none"/>
              </w:rPr>
              <w:t xml:space="preserve">0.8mpa</w:t>
            </w:r>
            <w:r>
              <w:rPr>
                <w:rFonts w:hint="eastAsia" w:ascii="宋体" w:hAnsi="宋体" w:eastAsia="宋体" w:cs="宋体"/>
                <w:sz w:val="24"/>
                <w:szCs w:val="24"/>
                <w:highlight w:val="none"/>
              </w:rPr>
              <w:t xml:space="preserve">，</w:t>
            </w:r>
            <w:r/>
          </w:p>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材质：不锈钢</w:t>
            </w:r>
            <w:r/>
          </w:p>
        </w:tc>
        <w:tc>
          <w:tcPr>
            <w:tcW w:w="1306" w:type="dxa"/>
            <w:vAlign w:val="center"/>
            <w:textDirection w:val="lrTb"/>
            <w:noWrap w:val="false"/>
          </w:tcPr>
          <w:p>
            <w:pPr>
              <w:jc w:val="center"/>
              <w:spacing w:line="240" w:lineRule="auto"/>
              <w:rPr>
                <w:rFonts w:hint="eastAsia" w:ascii="宋体" w:hAnsi="宋体" w:eastAsia="等线"/>
                <w:sz w:val="24"/>
                <w:szCs w:val="24"/>
                <w:highlight w:val="none"/>
              </w:rPr>
            </w:pPr>
            <w:r>
              <w:rPr>
                <w:rFonts w:hint="eastAsia" w:ascii="宋体" w:hAnsi="宋体" w:eastAsia="等线"/>
                <w:sz w:val="24"/>
                <w:szCs w:val="24"/>
                <w:highlight w:val="none"/>
              </w:rPr>
              <w:t xml:space="preserve">1台</w:t>
            </w:r>
            <w:r/>
          </w:p>
        </w:tc>
      </w:tr>
      <w:tr>
        <w:trPr>
          <w:cantSplit/>
          <w:jc w:val="center"/>
          <w:trHeight w:val="522"/>
        </w:trPr>
        <w:tc>
          <w:tcPr>
            <w:tcW w:w="901" w:type="dxa"/>
            <w:vAlign w:val="center"/>
            <w:textDirection w:val="lrTb"/>
            <w:noWrap w:val="false"/>
          </w:tcPr>
          <w:p>
            <w:pPr>
              <w:jc w:val="center"/>
              <w:spacing w:line="240" w:lineRule="auto"/>
              <w:rPr>
                <w:rFonts w:hint="eastAsia" w:ascii="宋体" w:hAnsi="宋体" w:eastAsia="等线"/>
                <w:sz w:val="24"/>
                <w:szCs w:val="24"/>
                <w:highlight w:val="none"/>
              </w:rPr>
            </w:pPr>
            <w:r>
              <w:rPr>
                <w:rFonts w:hint="eastAsia" w:ascii="宋体" w:hAnsi="宋体" w:eastAsia="等线"/>
                <w:sz w:val="24"/>
                <w:szCs w:val="24"/>
                <w:highlight w:val="none"/>
              </w:rPr>
              <w:t xml:space="preserve">7</w:t>
            </w:r>
            <w:r/>
          </w:p>
        </w:tc>
        <w:tc>
          <w:tcPr>
            <w:tcW w:w="2471" w:type="dxa"/>
            <w:vAlign w:val="center"/>
            <w:textDirection w:val="lrTb"/>
            <w:noWrap w:val="false"/>
          </w:tcPr>
          <w:p>
            <w:pPr>
              <w:jc w:val="center"/>
              <w:spacing w:line="240" w:lineRule="auto"/>
              <w:rPr>
                <w:rFonts w:hint="eastAsia" w:ascii="宋体" w:hAnsi="宋体"/>
                <w:sz w:val="24"/>
                <w:szCs w:val="24"/>
                <w:highlight w:val="none"/>
              </w:rPr>
            </w:pPr>
            <w:r>
              <w:rPr>
                <w:rFonts w:hint="eastAsia" w:ascii="宋体" w:hAnsi="宋体" w:eastAsia="宋体" w:cs="宋体"/>
                <w:sz w:val="24"/>
                <w:szCs w:val="24"/>
                <w:highlight w:val="none"/>
              </w:rPr>
              <w:t xml:space="preserve">分气缸</w:t>
            </w:r>
            <w:r/>
          </w:p>
        </w:tc>
        <w:tc>
          <w:tcPr>
            <w:tcW w:w="4358" w:type="dxa"/>
            <w:vAlign w:val="center"/>
            <w:textDirection w:val="lrTb"/>
            <w:noWrap w:val="false"/>
          </w:tcPr>
          <w:p>
            <w:pPr>
              <w:jc w:val="center"/>
              <w:spacing w:line="240" w:lineRule="auto"/>
              <w:rPr>
                <w:rFonts w:hint="eastAsia" w:ascii="宋体" w:hAnsi="宋体"/>
                <w:sz w:val="24"/>
                <w:szCs w:val="24"/>
                <w:highlight w:val="none"/>
              </w:rPr>
            </w:pPr>
            <w:r>
              <w:rPr>
                <w:rFonts w:hint="eastAsia" w:ascii="宋体" w:hAnsi="宋体" w:eastAsia="宋体" w:cs="宋体"/>
                <w:sz w:val="24"/>
                <w:szCs w:val="24"/>
                <w:highlight w:val="none"/>
              </w:rPr>
              <w:t xml:space="preserve">不锈钢，1进3出</w:t>
            </w:r>
            <w:r/>
          </w:p>
        </w:tc>
        <w:tc>
          <w:tcPr>
            <w:tcW w:w="1306" w:type="dxa"/>
            <w:vAlign w:val="center"/>
            <w:textDirection w:val="lrTb"/>
            <w:noWrap w:val="false"/>
          </w:tcPr>
          <w:p>
            <w:pPr>
              <w:jc w:val="center"/>
              <w:spacing w:line="240" w:lineRule="auto"/>
              <w:rPr>
                <w:rFonts w:hint="eastAsia" w:ascii="宋体" w:hAnsi="宋体" w:eastAsia="等线"/>
                <w:sz w:val="24"/>
                <w:szCs w:val="24"/>
                <w:highlight w:val="none"/>
              </w:rPr>
            </w:pPr>
            <w:r>
              <w:rPr>
                <w:rFonts w:hint="eastAsia" w:ascii="宋体" w:hAnsi="宋体" w:eastAsia="等线"/>
                <w:sz w:val="24"/>
                <w:szCs w:val="24"/>
                <w:highlight w:val="none"/>
              </w:rPr>
              <w:t xml:space="preserve">1台</w:t>
            </w:r>
            <w:r/>
          </w:p>
        </w:tc>
      </w:tr>
    </w:tbl>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1.2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压缩空气站技术参数：</w:t>
      </w:r>
      <w:r/>
    </w:p>
    <w:p>
      <w:pPr>
        <w:ind w:firstLine="9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最大供气量：压缩机排气量≥0.8m3/min，压缩空气机功率3.7kW/台。</w:t>
      </w:r>
      <w:r/>
    </w:p>
    <w:p>
      <w:pPr>
        <w:ind w:firstLine="9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最大流速：压缩机输出压力为0.75MPa、按标准规定为10m/s。</w:t>
      </w:r>
      <w:r/>
    </w:p>
    <w:p>
      <w:pPr>
        <w:ind w:firstLine="9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压缩空气站出口工作压力：0.4MPa (可调)。</w:t>
      </w:r>
      <w:r/>
    </w:p>
    <w:p>
      <w:pPr>
        <w:ind w:firstLine="9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压缩空气总体每小时泄漏率：保证小于≤0.2%。</w:t>
      </w:r>
      <w:r/>
    </w:p>
    <w:p>
      <w:pPr>
        <w:ind w:firstLine="9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压缩空气管道应可靠接地，接地电阻应小于10Ω。</w:t>
      </w:r>
      <w:r/>
    </w:p>
    <w:p>
      <w:pPr>
        <w:ind w:firstLine="9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空气终端气压不低于0.55MPa,每个终端流量不低于50L/min。</w:t>
      </w:r>
      <w:r/>
    </w:p>
    <w:p>
      <w:pPr>
        <w:ind w:firstLine="24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 产品机组的“class 0”无油，</w:t>
      </w:r>
      <w:r>
        <w:rPr>
          <w:rFonts w:hint="eastAsia" w:ascii="宋体" w:hAnsi="宋体" w:cs="宋体"/>
          <w:color w:val="000000"/>
          <w:sz w:val="24"/>
          <w:highlight w:val="none"/>
          <w:lang w:eastAsia="zh-CN"/>
        </w:rPr>
        <w:t xml:space="preserve">须提供第三</w:t>
      </w:r>
      <w:r>
        <w:rPr>
          <w:rFonts w:hint="eastAsia" w:ascii="宋体" w:hAnsi="宋体" w:cs="宋体"/>
          <w:color w:val="000000"/>
          <w:sz w:val="24"/>
          <w:highlight w:val="none"/>
          <w:lang w:val="en-US" w:eastAsia="zh-CN"/>
        </w:rPr>
        <w:t xml:space="preserve">方</w:t>
      </w:r>
      <w:r>
        <w:rPr>
          <w:rFonts w:hint="eastAsia" w:ascii="宋体" w:hAnsi="宋体" w:cs="宋体"/>
          <w:color w:val="000000"/>
          <w:sz w:val="24"/>
          <w:highlight w:val="none"/>
          <w:lang w:eastAsia="zh-CN"/>
        </w:rPr>
        <w:t xml:space="preserve">机构出具的</w:t>
      </w:r>
      <w:r>
        <w:rPr>
          <w:rFonts w:hint="eastAsia" w:ascii="宋体" w:hAnsi="宋体" w:cs="宋体"/>
          <w:color w:val="000000"/>
          <w:sz w:val="24"/>
          <w:highlight w:val="none"/>
        </w:rPr>
        <w:t xml:space="preserve">检测报告</w:t>
      </w:r>
      <w:r>
        <w:rPr>
          <w:rFonts w:hint="eastAsia" w:ascii="宋体" w:hAnsi="宋体" w:cs="宋体"/>
          <w:color w:val="000000"/>
          <w:sz w:val="24"/>
          <w:highlight w:val="none"/>
          <w:lang w:eastAsia="zh-CN"/>
        </w:rPr>
        <w:t xml:space="preserve">或“设备进场时提供符合要求的检测报告”承诺书。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 </w:t>
      </w:r>
      <w:r>
        <w:rPr>
          <w:rFonts w:hint="eastAsia" w:ascii="宋体" w:hAnsi="宋体" w:cs="宋体"/>
          <w:color w:val="000000"/>
          <w:sz w:val="24"/>
          <w:highlight w:val="none"/>
        </w:rPr>
        <w:t xml:space="preserve">压缩空气管道</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rPr>
        <w:t xml:space="preserve">.1管道材质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本工程压缩空气管道都采用不锈钢管；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2.2管道规格：参照图纸。</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3管道连接方法技术要求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不锈钢管道连接采用标准的不锈钢管件连接后氩弧焊焊连焊接。整个系统连接均采用金属密封，可保证系统的气密性。</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4管道布置：</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口腔科压缩空气管道在一层吊顶内敷设，穿楼板至口腔科与口腔治疗椅相连接。</w:t>
      </w:r>
      <w:r/>
    </w:p>
    <w:p>
      <w:pPr>
        <w:ind w:firstLine="562"/>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本项目质量保修期为2年</w:t>
      </w:r>
      <w:r>
        <w:rPr>
          <w:rFonts w:hint="eastAsia" w:ascii="宋体" w:hAnsi="宋体" w:cs="宋体"/>
          <w:color w:val="000000"/>
          <w:sz w:val="24"/>
          <w:highlight w:val="none"/>
          <w:lang w:eastAsia="zh-CN"/>
        </w:rPr>
        <w:t xml:space="preserve">，有防水要求的部分为</w:t>
      </w:r>
      <w:r>
        <w:rPr>
          <w:rFonts w:hint="eastAsia" w:ascii="宋体" w:hAnsi="宋体" w:cs="宋体"/>
          <w:color w:val="000000"/>
          <w:sz w:val="24"/>
          <w:highlight w:val="none"/>
          <w:lang w:val="en-US" w:eastAsia="zh-CN"/>
        </w:rPr>
        <w:t xml:space="preserve">5年</w:t>
      </w:r>
      <w:r>
        <w:rPr>
          <w:rFonts w:hint="eastAsia" w:ascii="宋体" w:hAnsi="宋体" w:cs="宋体"/>
          <w:color w:val="000000"/>
          <w:sz w:val="24"/>
          <w:highlight w:val="none"/>
        </w:rPr>
        <w:t xml:space="preserve">。质量保修期自工程竣工验收合格之日起计算。</w:t>
      </w:r>
      <w:r/>
    </w:p>
    <w:p>
      <w:pPr>
        <w:ind w:firstLine="56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（六）采购标的验收标准</w:t>
      </w:r>
      <w:r/>
    </w:p>
    <w:p>
      <w:pPr>
        <w:ind w:firstLine="560"/>
        <w:spacing w:line="360" w:lineRule="auto"/>
        <w:rPr>
          <w:rFonts w:hint="eastAsia" w:hAnsi="宋体"/>
          <w:color w:val="000000"/>
          <w:spacing w:val="7"/>
          <w:sz w:val="24"/>
          <w:highlight w:val="none"/>
          <w:shd w:val="clear" w:color="auto" w:fill="ffffff"/>
        </w:rPr>
      </w:pPr>
      <w:r>
        <w:rPr>
          <w:rFonts w:hint="eastAsia" w:ascii="宋体" w:hAnsi="宋体" w:cs="宋体"/>
          <w:color w:val="000000"/>
          <w:sz w:val="24"/>
          <w:highlight w:val="none"/>
        </w:rPr>
        <w:t xml:space="preserve">验收标准根据有关规定及技术要求,验收通过为准。</w:t>
      </w:r>
      <w:r/>
    </w:p>
    <w:p>
      <w:pPr>
        <w:numPr>
          <w:ilvl w:val="0"/>
          <w:numId w:val="2"/>
        </w:numPr>
        <w:ind w:firstLine="56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非单一产品采购项目，采购标的中的核心产品</w:t>
      </w:r>
      <w:r/>
    </w:p>
    <w:p>
      <w:pPr>
        <w:pStyle w:val="808"/>
        <w:ind w:firstLine="588"/>
        <w:spacing w:line="360" w:lineRule="auto"/>
        <w:rPr>
          <w:rFonts w:hint="eastAsia" w:hAnsi="宋体"/>
          <w:color w:val="000000"/>
          <w:sz w:val="24"/>
          <w:szCs w:val="24"/>
          <w:highlight w:val="none"/>
        </w:rPr>
      </w:pPr>
      <w:r>
        <w:rPr>
          <w:rFonts w:hint="eastAsia" w:hAnsi="宋体"/>
          <w:color w:val="000000"/>
          <w:sz w:val="24"/>
          <w:szCs w:val="24"/>
          <w:highlight w:val="none"/>
        </w:rPr>
        <w:t xml:space="preserve">不涉及。</w:t>
      </w:r>
      <w:r/>
    </w:p>
    <w:p>
      <w:pPr>
        <w:numPr>
          <w:ilvl w:val="0"/>
          <w:numId w:val="2"/>
        </w:numPr>
        <w:ind w:firstLine="56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付款方式</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1、供应商缴纳履约保证金（成交价的10%）、合同签订生效，且施工队伍进场开工后，采购单位向供应商支付合同价30%的工程款；</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2、工程竣工验收合格后，采购单位向供应商支付至合同价的80%；审计结束后，采购单位向供应商支付至审定价的97%；</w:t>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3、余款3%作为质量保修金，同时在无违约情形时退还履约保证金；2年质保期满且无质量问题并经书面确认后15日内返还。</w:t>
      </w:r>
      <w:r/>
    </w:p>
    <w:p>
      <w:pPr>
        <w:ind w:firstLine="56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供应商在申请支付时，须提交相应金额且符合采购单位财务制度规定的增值税发票。</w:t>
      </w:r>
      <w:r/>
    </w:p>
    <w:p>
      <w:pPr>
        <w:pStyle w:val="808"/>
        <w:ind w:firstLine="588"/>
        <w:spacing w:line="360" w:lineRule="auto"/>
        <w:rPr>
          <w:rFonts w:hint="eastAsia" w:hAnsi="宋体"/>
          <w:b/>
          <w:bCs/>
          <w:color w:val="000000"/>
          <w:sz w:val="24"/>
          <w:szCs w:val="24"/>
          <w:highlight w:val="none"/>
        </w:rPr>
      </w:pPr>
      <w:r>
        <w:rPr>
          <w:rFonts w:hint="eastAsia" w:hAnsi="宋体"/>
          <w:b/>
          <w:bCs/>
          <w:color w:val="000000"/>
          <w:sz w:val="24"/>
          <w:szCs w:val="24"/>
          <w:highlight w:val="none"/>
        </w:rPr>
        <w:t xml:space="preserve">（九）履约保证金</w:t>
      </w:r>
      <w:r/>
    </w:p>
    <w:p>
      <w:pPr>
        <w:pStyle w:val="808"/>
        <w:ind w:firstLine="588"/>
        <w:spacing w:line="360" w:lineRule="auto"/>
        <w:rPr>
          <w:rFonts w:hint="eastAsia" w:hAnsi="宋体"/>
          <w:color w:val="000000"/>
          <w:sz w:val="24"/>
          <w:szCs w:val="24"/>
          <w:highlight w:val="none"/>
        </w:rPr>
      </w:pPr>
      <w:r>
        <w:rPr>
          <w:rFonts w:hint="eastAsia" w:hAnsi="宋体"/>
          <w:color w:val="000000"/>
          <w:sz w:val="24"/>
          <w:szCs w:val="24"/>
          <w:highlight w:val="none"/>
        </w:rPr>
        <w:t xml:space="preserve">1、本项目成交后的履约保证金为项目成交价的10%。</w:t>
      </w:r>
      <w:r/>
    </w:p>
    <w:p>
      <w:pPr>
        <w:pStyle w:val="808"/>
        <w:ind w:firstLine="588"/>
        <w:spacing w:line="360" w:lineRule="auto"/>
        <w:rPr>
          <w:rFonts w:hint="eastAsia" w:hAnsi="宋体"/>
          <w:color w:val="000000"/>
          <w:sz w:val="24"/>
          <w:szCs w:val="24"/>
          <w:highlight w:val="none"/>
        </w:rPr>
      </w:pPr>
      <w:r>
        <w:rPr>
          <w:rFonts w:hint="eastAsia" w:hAnsi="宋体"/>
          <w:color w:val="000000"/>
          <w:sz w:val="24"/>
          <w:szCs w:val="24"/>
          <w:highlight w:val="none"/>
        </w:rPr>
        <w:t xml:space="preserve">2、 成交供应商的履约保证金须在成交通知书发出后7日内汇入采购单位账户（应当以数字人民币、支票、汇票或者金融机构、担保机构出具的保函等非现金形式提交），成交供应商凭成交通知书、履约保证金缴纳凭证在成交通知书发出后30日内与采购单位签订合同。超期或未有协商，则视为自动放弃成交资格。</w:t>
      </w:r>
      <w:r/>
    </w:p>
    <w:p>
      <w:pPr>
        <w:pStyle w:val="808"/>
        <w:ind w:firstLine="588"/>
        <w:spacing w:line="360" w:lineRule="auto"/>
        <w:rPr>
          <w:rFonts w:hint="eastAsia" w:hAnsi="宋体"/>
          <w:sz w:val="24"/>
          <w:highlight w:val="none"/>
        </w:rPr>
      </w:pPr>
      <w:r>
        <w:rPr>
          <w:rFonts w:hint="eastAsia" w:hAnsi="宋体"/>
          <w:color w:val="000000"/>
          <w:sz w:val="24"/>
          <w:szCs w:val="24"/>
          <w:highlight w:val="none"/>
        </w:rPr>
        <w:t xml:space="preserve">3、</w:t>
      </w:r>
      <w:r>
        <w:rPr>
          <w:rFonts w:hAnsi="宋体"/>
          <w:sz w:val="24"/>
          <w:highlight w:val="none"/>
        </w:rPr>
        <w:t xml:space="preserve">合同履行完毕，且在成交供应商无违约情形时，履约保证金将在合同履行完毕并完成顺利交接后在10个工作日内全额退回或撤销履约保函，采购人若逾期退还履约保证金的，按照逾期部分的每日0.05%支付违约金。如续签合同，履约保函或履约保证金退还延期至新合同期满并按规定完成交接之日</w:t>
      </w:r>
      <w:r>
        <w:rPr>
          <w:rFonts w:hint="eastAsia" w:hAnsi="宋体"/>
          <w:sz w:val="24"/>
          <w:highlight w:val="none"/>
        </w:rPr>
        <w:t xml:space="preserve">。</w:t>
      </w:r>
      <w:r/>
    </w:p>
    <w:p>
      <w:pPr>
        <w:pStyle w:val="808"/>
        <w:ind w:firstLine="588"/>
        <w:spacing w:line="360" w:lineRule="auto"/>
        <w:rPr>
          <w:rFonts w:hint="eastAsia" w:hAnsi="宋体"/>
          <w:sz w:val="24"/>
          <w:highlight w:val="none"/>
        </w:rPr>
      </w:pPr>
      <w:r>
        <w:rPr>
          <w:rFonts w:hint="eastAsia" w:hAnsi="宋体"/>
          <w:sz w:val="24"/>
          <w:highlight w:val="none"/>
        </w:rPr>
        <w:t xml:space="preserve">4、</w:t>
      </w:r>
      <w:r>
        <w:rPr>
          <w:rFonts w:hAnsi="宋体"/>
          <w:sz w:val="24"/>
          <w:highlight w:val="none"/>
        </w:rPr>
        <w:t xml:space="preserve">发生以下情况的，履约保证金不予退还或部分退还：</w:t>
      </w:r>
      <w:r/>
    </w:p>
    <w:p>
      <w:pPr>
        <w:pStyle w:val="808"/>
        <w:ind w:firstLine="588"/>
        <w:spacing w:line="360" w:lineRule="auto"/>
        <w:rPr>
          <w:rFonts w:hint="eastAsia" w:hAnsi="宋体"/>
          <w:sz w:val="24"/>
          <w:highlight w:val="none"/>
        </w:rPr>
      </w:pPr>
      <w:r>
        <w:rPr>
          <w:rFonts w:hAnsi="宋体"/>
          <w:sz w:val="24"/>
          <w:highlight w:val="none"/>
        </w:rPr>
        <w:t xml:space="preserve">a.</w:t>
      </w:r>
      <w:r>
        <w:rPr>
          <w:rFonts w:hint="eastAsia" w:hAnsi="宋体"/>
          <w:sz w:val="24"/>
          <w:highlight w:val="none"/>
          <w:lang w:val="en-US" w:eastAsia="zh-CN"/>
        </w:rPr>
        <w:t xml:space="preserve"> </w:t>
      </w:r>
      <w:r>
        <w:rPr>
          <w:rFonts w:hAnsi="宋体"/>
          <w:sz w:val="24"/>
          <w:highlight w:val="none"/>
        </w:rPr>
        <w:t xml:space="preserve">签订合同后，成交供应商不履行合同义务的，采购单位有权全额扣除履约保证金，全额不予退还，同时采购单位亦有权终止合同，成交供应商还须承担相应的法律赔偿责任。</w:t>
      </w:r>
      <w:r/>
    </w:p>
    <w:p>
      <w:pPr>
        <w:pStyle w:val="808"/>
        <w:ind w:firstLine="588"/>
        <w:spacing w:line="360" w:lineRule="auto"/>
        <w:rPr>
          <w:rFonts w:hint="eastAsia" w:hAnsi="宋体"/>
          <w:sz w:val="24"/>
          <w:highlight w:val="none"/>
        </w:rPr>
      </w:pPr>
      <w:r>
        <w:rPr>
          <w:rFonts w:hAnsi="宋体"/>
          <w:sz w:val="24"/>
          <w:highlight w:val="none"/>
        </w:rPr>
        <w:t xml:space="preserve">b.</w:t>
      </w:r>
      <w:r>
        <w:rPr>
          <w:rFonts w:hint="eastAsia" w:hAnsi="宋体"/>
          <w:sz w:val="24"/>
          <w:highlight w:val="none"/>
          <w:lang w:val="en-US" w:eastAsia="zh-CN"/>
        </w:rPr>
        <w:t xml:space="preserve"> </w:t>
      </w:r>
      <w:r>
        <w:rPr>
          <w:rFonts w:hAnsi="宋体"/>
          <w:sz w:val="24"/>
          <w:highlight w:val="none"/>
        </w:rPr>
        <w:t xml:space="preserve">成交供应商在履约过程中发生违约行为，给采购单位造成损失的，采购单位有权在成交供应商缴纳的履约保证金中予以扣款，以弥补采购单位经济损失，不足的部分成交供应商另外补齐。</w:t>
      </w:r>
      <w:r/>
    </w:p>
    <w:p>
      <w:pPr>
        <w:pStyle w:val="808"/>
        <w:ind w:firstLine="588"/>
        <w:spacing w:line="360" w:lineRule="auto"/>
        <w:rPr>
          <w:highlight w:val="none"/>
          <w:u w:val="none"/>
        </w:rPr>
      </w:pPr>
      <w:r>
        <w:rPr>
          <w:rFonts w:hint="eastAsia" w:hAnsi="宋体"/>
          <w:color w:val="000000"/>
          <w:sz w:val="24"/>
          <w:szCs w:val="24"/>
          <w:highlight w:val="none"/>
        </w:rPr>
        <w:t xml:space="preserve">5、以履约保函（保险）形式向采购单位缴纳的，按照《关于在全省政府采购领域推行电子履约保函（保险）的通知》（苏财购〔2023〕150号），登录江苏政府采购网，选择“保险保函”模块，进行相关操作。供应商可登录江苏政府采购网“资料下载”栏目（网址：http://www.ccgp-jiangsu.gov.cn/jiangsu/zlxz)下载“政府采购电子履约保函（保险）操作手册”。</w:t>
      </w:r>
      <w:r/>
    </w:p>
    <w:p>
      <w:pPr>
        <w:pStyle w:val="808"/>
        <w:ind w:firstLine="588"/>
        <w:spacing w:line="360" w:lineRule="auto"/>
        <w:rPr>
          <w:rFonts w:hint="eastAsia" w:hAnsi="宋体"/>
          <w:color w:val="000000"/>
          <w:sz w:val="24"/>
          <w:szCs w:val="24"/>
          <w:highlight w:val="none"/>
          <w:lang w:eastAsia="zh-CN"/>
        </w:rPr>
      </w:pPr>
      <w:r>
        <w:rPr>
          <w:rFonts w:hint="eastAsia" w:hAnsi="宋体"/>
          <w:color w:val="000000"/>
          <w:sz w:val="24"/>
          <w:szCs w:val="24"/>
          <w:highlight w:val="none"/>
          <w:lang w:eastAsia="zh-CN"/>
        </w:rPr>
      </w:r>
      <w:r/>
    </w:p>
    <w:p>
      <w:pPr>
        <w:jc w:val="center"/>
        <w:spacing w:line="500" w:lineRule="exact"/>
        <w:rPr>
          <w:rFonts w:hint="eastAsia" w:ascii="宋体" w:hAnsi="宋体" w:cs="宋体"/>
          <w:b/>
          <w:bCs/>
          <w:color w:val="000000"/>
          <w:sz w:val="36"/>
          <w:szCs w:val="36"/>
          <w:highlight w:val="none"/>
          <w:lang w:val="zh-CN"/>
        </w:rPr>
        <w:outlineLvl w:val="0"/>
      </w:pPr>
      <w:r>
        <w:rPr>
          <w:rFonts w:hint="eastAsia" w:ascii="宋体" w:hAnsi="宋体" w:cs="宋体"/>
          <w:b/>
          <w:bCs/>
          <w:color w:val="000000"/>
          <w:sz w:val="28"/>
          <w:szCs w:val="28"/>
          <w:highlight w:val="none"/>
        </w:rPr>
        <w:br w:type="page" w:clear="all"/>
      </w:r>
      <w:r>
        <w:rPr>
          <w:rFonts w:hint="eastAsia" w:ascii="宋体" w:hAnsi="宋体" w:cs="宋体"/>
          <w:b/>
          <w:bCs/>
          <w:color w:val="000000"/>
          <w:sz w:val="36"/>
          <w:szCs w:val="36"/>
          <w:highlight w:val="none"/>
          <w:lang w:val="zh-CN"/>
        </w:rPr>
        <w:t xml:space="preserve">第四部分 评审方法和评审标准</w:t>
      </w:r>
      <w:r/>
    </w:p>
    <w:p>
      <w:pPr>
        <w:ind w:firstLine="562"/>
        <w:jc w:val="left"/>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一、磋商方式</w:t>
      </w:r>
      <w:r/>
    </w:p>
    <w:p>
      <w:pPr>
        <w:ind w:firstLine="460"/>
        <w:spacing w:line="360" w:lineRule="auto"/>
        <w:tabs>
          <w:tab w:val="left" w:pos="3585" w:leader="none"/>
        </w:tabs>
        <w:rPr>
          <w:rFonts w:hint="eastAsia" w:ascii="宋体" w:hAnsi="宋体" w:cs="宋体"/>
          <w:sz w:val="24"/>
          <w:highlight w:val="none"/>
        </w:rPr>
      </w:pPr>
      <w:r>
        <w:rPr>
          <w:rFonts w:hint="eastAsia" w:ascii="宋体" w:hAnsi="宋体" w:cs="宋体"/>
          <w:sz w:val="24"/>
          <w:highlight w:val="none"/>
        </w:rPr>
        <w:t xml:space="preserve">不见面远程磋商模式：开标当天各供应商在各自地点通过苏采云系统及时登录不见面开标大厅，参加磋商活动。</w:t>
      </w:r>
      <w:r/>
    </w:p>
    <w:p>
      <w:p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二、磋商组织及磋商小组职责</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2、磋商小组的职责：</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（2）磋商文件内容违反国家有关强制性规定的，磋商小组应当停止评审并向采购人或者采购代理机构说明情况</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（3）磋商小组成员应当遵守评审工作纪律，不得泄露评审情况和评审中获悉的商业秘密，对个人的评审意见承担法律责任；</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（4）磋商小组成员在评审过程中发现供应商有行贿、提供虚假材料或者串通等违法行为的，应当及时向财政部门报告。</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（5）磋商小组成员在评审过程中受到非法干涉的，应当及时向财政、监察等部门举报。</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（6）配合采购单位答复供应商提出的质疑；配合财政部门的投诉处理和监督检查工作。</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3、评审有关记录由磋商小组成员签名，存档备查。</w:t>
      </w:r>
      <w:r/>
    </w:p>
    <w:p>
      <w:pPr>
        <w:ind w:firstLine="482"/>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三、评审步骤</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第一阶段：</w:t>
      </w:r>
      <w:r>
        <w:rPr>
          <w:rFonts w:hint="eastAsia" w:ascii="宋体" w:hAnsi="宋体" w:cs="宋体"/>
          <w:sz w:val="24"/>
          <w:highlight w:val="none"/>
        </w:rPr>
        <w:t xml:space="preserve">磋商小组</w:t>
      </w:r>
      <w:r>
        <w:rPr>
          <w:rFonts w:hint="eastAsia" w:ascii="宋体" w:hAnsi="宋体" w:cs="宋体"/>
          <w:sz w:val="24"/>
          <w:highlight w:val="none"/>
          <w:lang w:val="zh-CN"/>
        </w:rPr>
        <w:t xml:space="preserve">对每个供应商的资格进行审查。</w:t>
      </w:r>
      <w:r>
        <w:rPr>
          <w:rFonts w:hint="eastAsia" w:ascii="宋体" w:hAnsi="宋体" w:cs="宋体"/>
          <w:sz w:val="24"/>
          <w:highlight w:val="none"/>
        </w:rPr>
        <w:t xml:space="preserve">供应商资格不合格的，其响应文件判定为无效响应文件。</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第二阶段：</w:t>
      </w:r>
      <w:r>
        <w:rPr>
          <w:rFonts w:hint="eastAsia" w:ascii="宋体" w:hAnsi="宋体" w:cs="宋体"/>
          <w:sz w:val="24"/>
          <w:highlight w:val="none"/>
        </w:rPr>
        <w:t xml:space="preserve">依据磋商文件的规定，由磋商小组</w:t>
      </w:r>
      <w:r>
        <w:rPr>
          <w:rFonts w:hint="eastAsia" w:ascii="宋体" w:hAnsi="宋体" w:cs="宋体"/>
          <w:sz w:val="24"/>
          <w:highlight w:val="none"/>
          <w:lang w:val="zh-CN"/>
        </w:rPr>
        <w:t xml:space="preserve">对每个符合资格要求的供应商</w:t>
      </w:r>
      <w:r>
        <w:rPr>
          <w:rFonts w:hint="eastAsia" w:ascii="宋体" w:hAnsi="宋体" w:cs="宋体"/>
          <w:sz w:val="24"/>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lang w:val="zh-CN"/>
        </w:rPr>
        <w:t xml:space="preserve">第三阶段：以供应商价格标文件内的竞争性磋商报价（即首次报价）为基础，磋商小组与供应商单一分别进行磋商。单一分别</w:t>
      </w:r>
      <w:r>
        <w:rPr>
          <w:rFonts w:hint="eastAsia" w:ascii="宋体" w:hAnsi="宋体" w:cs="宋体"/>
          <w:sz w:val="24"/>
          <w:highlight w:val="none"/>
        </w:rPr>
        <w:t xml:space="preserve">磋商</w:t>
      </w:r>
      <w:r>
        <w:rPr>
          <w:rFonts w:hint="eastAsia" w:ascii="宋体" w:hAnsi="宋体" w:cs="宋体"/>
          <w:sz w:val="24"/>
          <w:highlight w:val="none"/>
          <w:lang w:val="zh-CN"/>
        </w:rPr>
        <w:t xml:space="preserve">结束后，</w:t>
      </w:r>
      <w:r>
        <w:rPr>
          <w:rFonts w:hint="eastAsia" w:ascii="宋体" w:hAnsi="宋体" w:cs="宋体"/>
          <w:bCs/>
          <w:sz w:val="24"/>
          <w:highlight w:val="none"/>
        </w:rPr>
        <w:t xml:space="preserve">系统进入报价环节。</w:t>
      </w:r>
      <w:r>
        <w:rPr>
          <w:rFonts w:hint="eastAsia" w:ascii="宋体" w:hAnsi="宋体" w:cs="宋体"/>
          <w:sz w:val="24"/>
          <w:highlight w:val="none"/>
          <w:lang w:val="zh-CN"/>
        </w:rPr>
        <w:t xml:space="preserve">（</w:t>
      </w:r>
      <w:r>
        <w:rPr>
          <w:rFonts w:hint="eastAsia" w:ascii="宋体" w:hAnsi="宋体" w:cs="宋体"/>
          <w:sz w:val="24"/>
          <w:highlight w:val="none"/>
        </w:rPr>
        <w:t xml:space="preserve">磋商程序见本章第四条</w:t>
      </w:r>
      <w:r>
        <w:rPr>
          <w:rFonts w:hint="eastAsia" w:ascii="宋体" w:hAnsi="宋体" w:cs="宋体"/>
          <w:sz w:val="24"/>
          <w:highlight w:val="none"/>
          <w:lang w:val="zh-CN"/>
        </w:rPr>
        <w:t xml:space="preserve">）。</w:t>
      </w:r>
      <w:r/>
    </w:p>
    <w:p>
      <w:pPr>
        <w:ind w:firstLine="480"/>
        <w:spacing w:line="360" w:lineRule="auto"/>
        <w:rPr>
          <w:rFonts w:hint="eastAsia" w:ascii="宋体" w:hAnsi="宋体" w:cs="宋体"/>
          <w:bCs/>
          <w:sz w:val="24"/>
          <w:highlight w:val="none"/>
        </w:rPr>
      </w:pPr>
      <w:r>
        <w:rPr>
          <w:rFonts w:hint="eastAsia" w:ascii="宋体" w:hAnsi="宋体" w:cs="宋体"/>
          <w:sz w:val="24"/>
          <w:highlight w:val="none"/>
          <w:lang w:val="zh-CN"/>
        </w:rPr>
        <w:t xml:space="preserve">第</w:t>
      </w:r>
      <w:r>
        <w:rPr>
          <w:rFonts w:hint="eastAsia" w:ascii="宋体" w:hAnsi="宋体" w:cs="宋体"/>
          <w:sz w:val="24"/>
          <w:highlight w:val="none"/>
        </w:rPr>
        <w:t xml:space="preserve">四</w:t>
      </w:r>
      <w:r>
        <w:rPr>
          <w:rFonts w:hint="eastAsia" w:ascii="宋体" w:hAnsi="宋体" w:cs="宋体"/>
          <w:sz w:val="24"/>
          <w:highlight w:val="none"/>
          <w:lang w:val="zh-CN"/>
        </w:rPr>
        <w:t xml:space="preserve">阶段：</w:t>
      </w:r>
      <w:r>
        <w:rPr>
          <w:rFonts w:hint="eastAsia" w:ascii="宋体" w:hAnsi="宋体" w:cs="宋体"/>
          <w:bCs/>
          <w:sz w:val="24"/>
          <w:highlight w:val="none"/>
        </w:rPr>
        <w:t xml:space="preserve">系统最后报价环节结束后，磋商小组对响应报价的供应商进行商务技术部分评审。</w:t>
      </w:r>
      <w:r/>
    </w:p>
    <w:p>
      <w:p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四、磋商程序</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在磋商过程中，磋商小组可能根据磋商文件和磋商情况实质性变动的内容有：</w:t>
      </w:r>
      <w:r>
        <w:rPr>
          <w:rFonts w:hint="eastAsia" w:ascii="宋体" w:hAnsi="宋体" w:cs="宋体"/>
          <w:b/>
          <w:bCs/>
          <w:sz w:val="24"/>
          <w:highlight w:val="none"/>
          <w:u w:val="single"/>
        </w:rPr>
        <w:t xml:space="preserve">采购需求中的技术、服务要求以及合同草案条款。</w:t>
      </w:r>
      <w:r>
        <w:rPr>
          <w:rFonts w:hint="eastAsia" w:ascii="宋体" w:hAnsi="宋体" w:cs="宋体"/>
          <w:sz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cs="宋体"/>
          <w:bCs/>
          <w:sz w:val="24"/>
          <w:highlight w:val="none"/>
        </w:rPr>
        <w:t xml:space="preserve">在</w:t>
      </w:r>
      <w:r>
        <w:rPr>
          <w:rFonts w:hint="eastAsia" w:ascii="宋体" w:hAnsi="宋体" w:cs="宋体"/>
          <w:b/>
          <w:sz w:val="24"/>
          <w:highlight w:val="none"/>
        </w:rPr>
        <w:t xml:space="preserve">15分钟内</w:t>
      </w:r>
      <w:r>
        <w:rPr>
          <w:rFonts w:hint="eastAsia" w:ascii="宋体" w:hAnsi="宋体" w:cs="宋体"/>
          <w:sz w:val="24"/>
          <w:highlight w:val="none"/>
        </w:rPr>
        <w:t xml:space="preserve">提交最后报价。</w:t>
      </w:r>
      <w:r/>
    </w:p>
    <w:p>
      <w:pPr>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4、除非在磋商中磋商小组对采购需求中的技术、服务要求以及合同草案条款作了实质性变更，否则</w:t>
      </w:r>
      <w:r>
        <w:rPr>
          <w:rFonts w:hint="eastAsia" w:ascii="宋体" w:hAnsi="宋体" w:cs="宋体"/>
          <w:b/>
          <w:sz w:val="24"/>
          <w:highlight w:val="none"/>
        </w:rPr>
        <w:t xml:space="preserve">采购单位不接受供应商高于自己前一轮的磋商报价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5、在磋商中，磋商的任何一方不得透露与磋商有关的其他响应磋商的供应商的技术资料、价格及其他信息。</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响应处理。</w:t>
      </w:r>
      <w:r/>
    </w:p>
    <w:p>
      <w:p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五、评审方法</w:t>
      </w:r>
      <w:r/>
    </w:p>
    <w:p>
      <w:pPr>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评审方法：综合评分法。经磋商确定最终采购需求和提交最后报价的供应商后，由磋商小组采用综合评分法对系统提交最后报价的供应商的响应文件和最后报价进行综合评分。</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4"/>
          <w:highlight w:val="none"/>
        </w:rPr>
        <w:t xml:space="preserve">（计算结果均四舍五入保留两位小数）。</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3、本次项目磋商的商务技术和报价评审总分值为100分。两部分评审因素比重如下：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商务技术分值占总分值的比重为</w:t>
      </w:r>
      <w:r>
        <w:rPr>
          <w:rFonts w:hint="eastAsia" w:ascii="宋体" w:hAnsi="宋体" w:cs="宋体"/>
          <w:b/>
          <w:sz w:val="24"/>
          <w:highlight w:val="none"/>
          <w:u w:val="single"/>
          <w:lang w:val="en-US" w:eastAsia="zh-CN"/>
        </w:rPr>
        <w:t xml:space="preserve">70</w:t>
      </w:r>
      <w:r>
        <w:rPr>
          <w:rFonts w:hint="eastAsia" w:ascii="宋体" w:hAnsi="宋体" w:cs="宋体"/>
          <w:b/>
          <w:sz w:val="24"/>
          <w:highlight w:val="none"/>
          <w:u w:val="single"/>
        </w:rPr>
        <w:t xml:space="preserve">%（权重）</w:t>
      </w:r>
      <w:r>
        <w:rPr>
          <w:rFonts w:hint="eastAsia" w:ascii="宋体" w:hAnsi="宋体" w:cs="宋体"/>
          <w:sz w:val="24"/>
          <w:highlight w:val="none"/>
        </w:rPr>
        <w:t xml:space="preserve">（四舍五入保留两位小数）；</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价格分值占总分值的比重为</w:t>
      </w:r>
      <w:r>
        <w:rPr>
          <w:rFonts w:hint="eastAsia" w:ascii="宋体" w:hAnsi="宋体" w:cs="宋体"/>
          <w:b/>
          <w:sz w:val="24"/>
          <w:highlight w:val="none"/>
          <w:u w:val="single"/>
        </w:rPr>
        <w:t xml:space="preserve">3</w:t>
      </w:r>
      <w:r>
        <w:rPr>
          <w:rFonts w:hint="eastAsia" w:ascii="宋体" w:hAnsi="宋体" w:cs="宋体"/>
          <w:b/>
          <w:sz w:val="24"/>
          <w:highlight w:val="none"/>
          <w:u w:val="single"/>
          <w:lang w:val="en-US" w:eastAsia="zh-CN"/>
        </w:rPr>
        <w:t xml:space="preserve">0</w:t>
      </w:r>
      <w:r>
        <w:rPr>
          <w:rFonts w:hint="eastAsia" w:ascii="宋体" w:hAnsi="宋体" w:cs="宋体"/>
          <w:b/>
          <w:sz w:val="24"/>
          <w:highlight w:val="none"/>
          <w:u w:val="single"/>
        </w:rPr>
        <w:t xml:space="preserve">%（权重）</w:t>
      </w:r>
      <w:r>
        <w:rPr>
          <w:rFonts w:hint="eastAsia" w:ascii="宋体" w:hAnsi="宋体" w:cs="宋体"/>
          <w:sz w:val="24"/>
          <w:highlight w:val="none"/>
        </w:rPr>
        <w:t xml:space="preserve">（四舍五入保留两位小数）。</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4、商务技术分按算术平均值计算，分值四舍五入保留两位小数。</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bCs/>
          <w:sz w:val="24"/>
          <w:highlight w:val="none"/>
        </w:rPr>
        <w:t xml:space="preserve">供应商价格部分和商务技术部分的合计分值，为该供应商的评审总得分</w:t>
      </w:r>
      <w:r>
        <w:rPr>
          <w:rFonts w:hint="eastAsia" w:ascii="宋体" w:hAnsi="宋体" w:cs="宋体"/>
          <w:sz w:val="24"/>
          <w:highlight w:val="none"/>
        </w:rPr>
        <w:t xml:space="preserve">（四舍五入保留两位小数）。</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6、评委在认真审阅响应文件的基础上，根据各响应文件的响应程度独立评判，不得统一打分</w:t>
      </w:r>
      <w:r>
        <w:rPr>
          <w:rFonts w:hint="eastAsia" w:ascii="宋体" w:hAnsi="宋体" w:cs="宋体"/>
          <w:sz w:val="24"/>
          <w:highlight w:val="none"/>
        </w:rPr>
        <w:t xml:space="preserve">。</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7、确定成交候选人的特殊情况处理： </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采用综合评分法的，评标结果按评审总得分由高到低顺序排列，</w:t>
      </w:r>
      <w:r>
        <w:rPr>
          <w:rFonts w:hint="eastAsia" w:ascii="宋体" w:hAnsi="宋体" w:cs="宋体"/>
          <w:sz w:val="24"/>
          <w:highlight w:val="none"/>
        </w:rPr>
        <w:t xml:space="preserve">确定成交候选人名单并按顺序确定1名成交人</w:t>
      </w:r>
      <w:r>
        <w:rPr>
          <w:rFonts w:hint="eastAsia" w:ascii="宋体" w:hAnsi="宋体" w:cs="宋体"/>
          <w:bCs/>
          <w:sz w:val="24"/>
          <w:highlight w:val="none"/>
        </w:rPr>
        <w:t xml:space="preserve">。总得分相同的，按最终报价由低到高顺序排列，总得分和最终报价均相同的并列，磋商响应文件满足磋商文件全部实质性要求，且按照评审因素的量化指标评审得分最高的供应商为</w:t>
      </w:r>
      <w:r>
        <w:rPr>
          <w:rFonts w:hint="eastAsia" w:ascii="宋体" w:hAnsi="宋体" w:cs="宋体"/>
          <w:sz w:val="24"/>
          <w:highlight w:val="none"/>
        </w:rPr>
        <w:t xml:space="preserve">排名第一的</w:t>
      </w:r>
      <w:r>
        <w:rPr>
          <w:rFonts w:hint="eastAsia" w:ascii="宋体" w:hAnsi="宋体" w:cs="宋体"/>
          <w:bCs/>
          <w:sz w:val="24"/>
          <w:highlight w:val="none"/>
        </w:rPr>
        <w:t xml:space="preserve">成交候选人。若仍相同的，则由采购单位代表采取现场抽签的方式确定成交候选人。</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8、磋商评审时，评委对评审的细则若有争议，由磋商小组集体讨论确定，并对未尽情况有最终解释权。</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9、对落标的供应商不做落标原因的解释。</w:t>
      </w:r>
      <w:r/>
    </w:p>
    <w:p>
      <w:p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六、综合评分评审标准</w:t>
      </w:r>
      <w:r/>
    </w:p>
    <w:p>
      <w:pPr>
        <w:ind w:firstLine="56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（一）商务技术分：</w:t>
      </w:r>
      <w:r>
        <w:rPr>
          <w:rFonts w:hint="eastAsia" w:ascii="宋体" w:hAnsi="宋体" w:cs="宋体"/>
          <w:b/>
          <w:color w:val="000000"/>
          <w:sz w:val="24"/>
          <w:highlight w:val="none"/>
          <w:lang w:val="en-US" w:eastAsia="zh-CN"/>
        </w:rPr>
        <w:t xml:space="preserve">70</w:t>
      </w:r>
      <w:r>
        <w:rPr>
          <w:rFonts w:hint="eastAsia" w:ascii="宋体" w:hAnsi="宋体" w:cs="宋体"/>
          <w:b/>
          <w:color w:val="000000"/>
          <w:sz w:val="24"/>
          <w:highlight w:val="none"/>
        </w:rPr>
        <w:t xml:space="preserve">分</w:t>
      </w:r>
      <w:r/>
    </w:p>
    <w:p>
      <w:pPr>
        <w:ind w:firstLine="562"/>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各供应商得分为磋商小组成员评分的算术平均分，分值四舍五入保留小数点后两位。</w:t>
      </w:r>
      <w:r/>
    </w:p>
    <w:tbl>
      <w:tblPr>
        <w:tblStyle w:val="675"/>
        <w:tblW w:w="9897" w:type="dxa"/>
        <w:jc w:val="center"/>
        <w:tblLayout w:type="fixed"/>
        <w:tblCellMar>
          <w:left w:w="108" w:type="dxa"/>
          <w:top w:w="0" w:type="dxa"/>
          <w:right w:w="108" w:type="dxa"/>
          <w:bottom w:w="0" w:type="dxa"/>
        </w:tblCellMar>
        <w:tblLook w:val="04A0" w:firstRow="1" w:lastRow="0" w:firstColumn="1" w:lastColumn="0" w:noHBand="0" w:noVBand="1"/>
      </w:tblPr>
      <w:tblGrid>
        <w:gridCol w:w="656"/>
        <w:gridCol w:w="1494"/>
        <w:gridCol w:w="7030"/>
        <w:gridCol w:w="717"/>
      </w:tblGrid>
      <w:tr>
        <w:trPr>
          <w:jc w:val="center"/>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评审内容</w:t>
            </w:r>
            <w:r/>
          </w:p>
        </w:tc>
        <w:tc>
          <w:tcPr>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评审细则</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分值</w:t>
            </w:r>
            <w:r/>
          </w:p>
        </w:tc>
      </w:tr>
      <w:tr>
        <w:trPr>
          <w:jc w:val="center"/>
          <w:trHeight w:val="227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企业资信</w:t>
            </w:r>
            <w:r/>
          </w:p>
        </w:tc>
        <w:tc>
          <w:tcPr>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供应商具有有效期内的ISO9001质量管理体系认证证书、ISO14001环境管理体系认证证书、ISO45001职业健康安全管理体系认证证书，且</w:t>
            </w:r>
            <w:r>
              <w:rPr>
                <w:rFonts w:hint="eastAsia" w:ascii="宋体" w:hAnsi="宋体" w:eastAsia="宋体" w:cs="宋体"/>
                <w:sz w:val="24"/>
                <w:szCs w:val="24"/>
                <w:highlight w:val="none"/>
                <w:lang w:eastAsia="zh-CN"/>
              </w:rPr>
              <w:t xml:space="preserve">上述</w:t>
            </w:r>
            <w:r>
              <w:rPr>
                <w:rFonts w:hint="eastAsia" w:ascii="宋体" w:hAnsi="宋体" w:eastAsia="宋体" w:cs="宋体"/>
                <w:sz w:val="24"/>
                <w:szCs w:val="24"/>
                <w:highlight w:val="none"/>
              </w:rPr>
              <w:t xml:space="preserve">证书范围</w:t>
            </w:r>
            <w:r>
              <w:rPr>
                <w:rFonts w:hint="eastAsia" w:ascii="宋体" w:hAnsi="宋体" w:eastAsia="宋体" w:cs="宋体"/>
                <w:sz w:val="24"/>
                <w:szCs w:val="24"/>
                <w:highlight w:val="none"/>
                <w:lang w:eastAsia="zh-CN"/>
              </w:rPr>
              <w:t xml:space="preserve">含医用气体类</w:t>
            </w:r>
            <w:r>
              <w:rPr>
                <w:rFonts w:hint="eastAsia" w:ascii="宋体" w:hAnsi="宋体" w:eastAsia="宋体" w:cs="宋体"/>
                <w:sz w:val="24"/>
                <w:szCs w:val="24"/>
                <w:highlight w:val="none"/>
              </w:rPr>
              <w:t xml:space="preserve">。每有1个证书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分，本项最多得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jc w:val="both"/>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rPr>
              <w:t xml:space="preserve">须</w:t>
            </w:r>
            <w:r>
              <w:rPr>
                <w:rFonts w:hint="eastAsia" w:ascii="宋体" w:hAnsi="宋体" w:cs="宋体"/>
                <w:b/>
                <w:sz w:val="24"/>
                <w:szCs w:val="24"/>
                <w:highlight w:val="none"/>
                <w:lang w:eastAsia="zh-CN"/>
              </w:rPr>
              <w:t xml:space="preserve">同时</w:t>
            </w:r>
            <w:r>
              <w:rPr>
                <w:rFonts w:hint="eastAsia" w:ascii="宋体" w:hAnsi="宋体" w:eastAsia="宋体" w:cs="宋体"/>
                <w:b/>
                <w:sz w:val="24"/>
                <w:szCs w:val="24"/>
                <w:highlight w:val="none"/>
              </w:rPr>
              <w:t xml:space="preserve">提供</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eastAsia="zh-CN"/>
              </w:rPr>
              <w:t xml:space="preserve">①</w:t>
            </w:r>
            <w:r>
              <w:rPr>
                <w:rFonts w:hint="eastAsia" w:ascii="宋体" w:hAnsi="宋体" w:eastAsia="宋体" w:cs="宋体"/>
                <w:b/>
                <w:bCs w:val="0"/>
                <w:sz w:val="24"/>
                <w:szCs w:val="24"/>
                <w:highlight w:val="none"/>
              </w:rPr>
              <w:t xml:space="preserve">相关证书原件的扫描件</w:t>
            </w:r>
            <w:r>
              <w:rPr>
                <w:rFonts w:hint="eastAsia" w:ascii="宋体" w:hAnsi="宋体" w:eastAsia="宋体" w:cs="宋体"/>
                <w:b/>
                <w:bCs w:val="0"/>
                <w:sz w:val="24"/>
                <w:szCs w:val="24"/>
                <w:highlight w:val="none"/>
                <w:lang w:eastAsia="zh-CN"/>
              </w:rPr>
              <w:t xml:space="preserve">、②</w:t>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HYPERLINK "https://www.cnca.gov.cn/"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 xml:space="preserve">国家认证认可监督管理委员会</w:t>
            </w:r>
            <w:r>
              <w:rPr>
                <w:rFonts w:hint="eastAsia" w:ascii="宋体" w:hAnsi="宋体" w:eastAsia="宋体" w:cs="宋体"/>
                <w:b/>
                <w:bCs w:val="0"/>
                <w:sz w:val="24"/>
                <w:szCs w:val="24"/>
                <w:highlight w:val="none"/>
              </w:rPr>
              <w:fldChar w:fldCharType="end"/>
            </w:r>
            <w:r>
              <w:rPr>
                <w:rFonts w:hint="eastAsia" w:ascii="宋体" w:hAnsi="宋体" w:eastAsia="宋体" w:cs="宋体"/>
                <w:b/>
                <w:bCs w:val="0"/>
                <w:sz w:val="24"/>
                <w:szCs w:val="24"/>
                <w:highlight w:val="none"/>
                <w:lang w:eastAsia="zh-CN"/>
              </w:rPr>
              <w:t xml:space="preserve">网站（</w:t>
            </w:r>
            <w:r>
              <w:rPr>
                <w:rFonts w:hint="eastAsia" w:ascii="宋体" w:hAnsi="宋体" w:eastAsia="宋体" w:cs="宋体"/>
                <w:b/>
                <w:bCs w:val="0"/>
                <w:sz w:val="24"/>
                <w:szCs w:val="24"/>
                <w:highlight w:val="none"/>
              </w:rPr>
              <w:t xml:space="preserve">https://www.cnca.go</w:t>
            </w:r>
            <w:r>
              <w:rPr>
                <w:rFonts w:hint="eastAsia" w:ascii="宋体" w:hAnsi="宋体" w:eastAsia="宋体" w:cs="宋体"/>
                <w:b/>
                <w:bCs w:val="0"/>
                <w:sz w:val="24"/>
                <w:szCs w:val="24"/>
                <w:highlight w:val="none"/>
              </w:rPr>
              <w:t xml:space="preserve">v.cn</w:t>
            </w:r>
            <w:r>
              <w:rPr>
                <w:rFonts w:hint="eastAsia" w:ascii="宋体" w:hAnsi="宋体" w:cs="宋体"/>
                <w:b/>
                <w:bCs w:val="0"/>
                <w:sz w:val="24"/>
                <w:szCs w:val="24"/>
                <w:highlight w:val="none"/>
                <w:lang w:eastAsia="zh-CN"/>
              </w:rPr>
              <w:t xml:space="preserve">）的查询截图</w:t>
            </w:r>
            <w:r>
              <w:rPr>
                <w:rFonts w:hint="eastAsia" w:ascii="宋体" w:hAnsi="宋体" w:eastAsia="宋体" w:cs="宋体"/>
                <w:b/>
                <w:bCs w:val="0"/>
                <w:sz w:val="24"/>
                <w:szCs w:val="24"/>
                <w:highlight w:val="none"/>
              </w:rPr>
              <w:t xml:space="preserve">，</w:t>
            </w:r>
            <w:r>
              <w:rPr>
                <w:rFonts w:hint="eastAsia" w:ascii="宋体" w:hAnsi="宋体" w:cs="宋体"/>
                <w:b/>
                <w:bCs w:val="0"/>
                <w:sz w:val="24"/>
                <w:szCs w:val="24"/>
                <w:highlight w:val="none"/>
                <w:lang w:eastAsia="zh-CN"/>
              </w:rPr>
              <w:t xml:space="preserve">上述材料须</w:t>
            </w:r>
            <w:r>
              <w:rPr>
                <w:rFonts w:hint="eastAsia" w:ascii="宋体" w:hAnsi="宋体" w:eastAsia="宋体" w:cs="宋体"/>
                <w:b/>
                <w:bCs w:val="0"/>
                <w:sz w:val="24"/>
                <w:szCs w:val="24"/>
                <w:highlight w:val="none"/>
              </w:rPr>
              <w:t xml:space="preserve">加盖供应商公章</w:t>
            </w:r>
            <w:r>
              <w:rPr>
                <w:rFonts w:hint="eastAsia" w:ascii="宋体" w:hAnsi="宋体" w:eastAsia="宋体" w:cs="宋体"/>
                <w:b/>
                <w:bCs w:val="0"/>
                <w:sz w:val="24"/>
                <w:szCs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p>
        </w:tc>
      </w:tr>
      <w:tr>
        <w:trPr>
          <w:jc w:val="center"/>
          <w:trHeight w:val="14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460" w:lineRule="exact"/>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业绩</w:t>
            </w:r>
            <w:r>
              <w:rPr>
                <w:rFonts w:hint="eastAsia" w:ascii="宋体" w:hAnsi="宋体" w:cs="宋体"/>
                <w:color w:val="000000"/>
                <w:sz w:val="24"/>
                <w:highlight w:val="none"/>
                <w:lang w:val="en-US" w:eastAsia="zh-CN"/>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pStyle w:val="680"/>
              <w:keepLines w:val="0"/>
              <w:keepNext w:val="0"/>
              <w:pageBreakBefore w:val="0"/>
              <w:spacing w:after="0"/>
              <w:rPr>
                <w:rFonts w:hint="eastAsia" w:eastAsia="宋体"/>
                <w:highlight w:val="none"/>
                <w:lang w:val="en-US" w:eastAsia="zh-CN"/>
              </w:rPr>
            </w:pPr>
            <w:r>
              <w:rPr>
                <w:rFonts w:hint="eastAsia" w:ascii="宋体" w:hAnsi="宋体"/>
                <w:color w:val="000000"/>
                <w:sz w:val="24"/>
                <w:highlight w:val="none"/>
              </w:rPr>
              <w:t xml:space="preserve">供应商自202</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月（以竣工验收证明时间为准）以来承担过</w:t>
            </w:r>
            <w:r>
              <w:rPr>
                <w:rFonts w:hint="eastAsia" w:ascii="宋体" w:hAnsi="宋体"/>
                <w:color w:val="000000"/>
                <w:sz w:val="24"/>
                <w:highlight w:val="none"/>
                <w:lang w:eastAsia="zh-CN"/>
              </w:rPr>
              <w:t xml:space="preserve">类似</w:t>
            </w:r>
            <w:r>
              <w:rPr>
                <w:rFonts w:hint="eastAsia" w:ascii="宋体" w:hAnsi="宋体"/>
                <w:color w:val="000000"/>
                <w:sz w:val="24"/>
                <w:highlight w:val="none"/>
                <w:lang w:val="en-US" w:eastAsia="zh-CN"/>
              </w:rPr>
              <w:t xml:space="preserve">医用气体系统</w:t>
            </w:r>
            <w:r>
              <w:rPr>
                <w:rFonts w:hint="eastAsia" w:ascii="宋体" w:hAnsi="宋体"/>
                <w:color w:val="000000"/>
                <w:sz w:val="24"/>
                <w:highlight w:val="none"/>
                <w:lang w:eastAsia="zh-CN"/>
              </w:rPr>
              <w:t xml:space="preserve">项目</w:t>
            </w:r>
            <w:r>
              <w:rPr>
                <w:rFonts w:hint="eastAsia" w:ascii="宋体" w:hAnsi="宋体" w:cs="宋体"/>
                <w:sz w:val="24"/>
                <w:szCs w:val="24"/>
                <w:highlight w:val="none"/>
                <w:lang w:eastAsia="zh-CN"/>
              </w:rPr>
              <w:t xml:space="preserve">施工</w:t>
            </w:r>
            <w:r>
              <w:rPr>
                <w:rFonts w:hint="eastAsia" w:ascii="宋体" w:hAnsi="宋体" w:cs="宋体"/>
                <w:sz w:val="24"/>
                <w:szCs w:val="24"/>
                <w:highlight w:val="none"/>
              </w:rPr>
              <w:t xml:space="preserve">业绩的</w:t>
            </w:r>
            <w:r>
              <w:rPr>
                <w:rFonts w:hint="eastAsia" w:ascii="宋体" w:hAnsi="宋体" w:cs="宋体"/>
                <w:sz w:val="24"/>
                <w:szCs w:val="24"/>
                <w:highlight w:val="none"/>
              </w:rPr>
              <w:t xml:space="preserve">，每提供一</w:t>
            </w:r>
            <w:r>
              <w:rPr>
                <w:rFonts w:hint="eastAsia" w:ascii="宋体" w:hAnsi="宋体" w:cs="宋体"/>
                <w:sz w:val="24"/>
                <w:szCs w:val="24"/>
                <w:highlight w:val="none"/>
                <w:lang w:eastAsia="zh-CN"/>
              </w:rPr>
              <w:t xml:space="preserve">个</w:t>
            </w:r>
            <w:r>
              <w:rPr>
                <w:rFonts w:hint="eastAsia" w:ascii="宋体" w:hAnsi="宋体" w:cs="宋体"/>
                <w:sz w:val="24"/>
                <w:szCs w:val="24"/>
                <w:highlight w:val="none"/>
              </w:rPr>
              <w:t xml:space="preserve">得2分，最多得6分。</w:t>
            </w:r>
            <w:r/>
          </w:p>
          <w:p>
            <w:pPr>
              <w:jc w:val="left"/>
              <w:keepLines w:val="0"/>
              <w:keepNext w:val="0"/>
              <w:pageBreakBefore w:val="0"/>
              <w:rPr>
                <w:rFonts w:hint="eastAsia" w:ascii="宋体" w:hAnsi="宋体" w:eastAsia="宋体" w:cs="宋体"/>
                <w:color w:val="000000"/>
                <w:sz w:val="24"/>
                <w:szCs w:val="24"/>
                <w:highlight w:val="none"/>
                <w:lang w:val="en-US" w:eastAsia="zh-CN" w:bidi="ar-SA"/>
              </w:rPr>
            </w:pPr>
            <w:r>
              <w:rPr>
                <w:rFonts w:hint="eastAsia" w:ascii="宋体" w:hAnsi="宋体"/>
                <w:b/>
                <w:bCs/>
                <w:color w:val="000000"/>
                <w:sz w:val="24"/>
                <w:highlight w:val="none"/>
              </w:rPr>
              <w:t xml:space="preserve">须同时提供：合同的扫描件</w:t>
            </w:r>
            <w:r>
              <w:rPr>
                <w:rFonts w:hint="eastAsia" w:ascii="宋体" w:hAnsi="宋体"/>
                <w:b/>
                <w:bCs/>
                <w:color w:val="000000"/>
                <w:sz w:val="24"/>
                <w:highlight w:val="none"/>
                <w:lang w:eastAsia="zh-CN"/>
              </w:rPr>
              <w:t xml:space="preserve">，并</w:t>
            </w:r>
            <w:r>
              <w:rPr>
                <w:rFonts w:hint="eastAsia" w:ascii="宋体" w:hAnsi="宋体" w:eastAsia="宋体" w:cs="宋体"/>
                <w:b/>
                <w:bCs/>
                <w:sz w:val="24"/>
                <w:highlight w:val="none"/>
              </w:rPr>
              <w:t xml:space="preserve">加盖供应商公章。</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p>
        </w:tc>
      </w:tr>
      <w:tr>
        <w:trPr>
          <w:jc w:val="center"/>
          <w:trHeight w:val="1206"/>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46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eastAsia="zh-CN"/>
              </w:rPr>
              <w:t xml:space="preserve">业绩</w:t>
            </w:r>
            <w:r>
              <w:rPr>
                <w:rFonts w:hint="eastAsia" w:ascii="宋体" w:hAnsi="宋体" w:cs="宋体"/>
                <w:color w:val="000000"/>
                <w:sz w:val="24"/>
                <w:highlight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pStyle w:val="680"/>
              <w:keepLines w:val="0"/>
              <w:keepNext w:val="0"/>
              <w:pageBreakBefore w:val="0"/>
              <w:spacing w:after="0"/>
              <w:widowControl w:val="off"/>
              <w:rPr>
                <w:rFonts w:hint="default" w:eastAsia="宋体"/>
                <w:highlight w:val="none"/>
                <w:lang w:val="en-US" w:eastAsia="zh-CN"/>
              </w:rPr>
            </w:pPr>
            <w:r>
              <w:rPr>
                <w:rFonts w:hint="eastAsia" w:ascii="宋体" w:hAnsi="宋体" w:eastAsia="宋体" w:cs="宋体"/>
                <w:sz w:val="24"/>
                <w:szCs w:val="24"/>
                <w:highlight w:val="none"/>
                <w:lang w:val="en-US" w:eastAsia="zh-CN"/>
              </w:rPr>
              <w:t xml:space="preserve">上述项目在竣工后由带有</w:t>
            </w:r>
            <w:r>
              <w:rPr>
                <w:rFonts w:hint="eastAsia" w:ascii="宋体" w:hAnsi="宋体" w:eastAsia="宋体" w:cs="宋体"/>
                <w:sz w:val="24"/>
                <w:szCs w:val="24"/>
                <w:highlight w:val="none"/>
                <w:lang w:eastAsia="zh-CN"/>
              </w:rPr>
              <w:t xml:space="preserve">CMA或</w:t>
            </w:r>
            <w:r>
              <w:rPr>
                <w:rFonts w:hint="eastAsia" w:ascii="宋体" w:hAnsi="宋体" w:eastAsia="宋体" w:cs="宋体"/>
                <w:sz w:val="24"/>
                <w:szCs w:val="24"/>
                <w:highlight w:val="none"/>
                <w:lang w:val="en-US" w:eastAsia="zh-CN"/>
              </w:rPr>
              <w:t xml:space="preserve">CNAS专业</w:t>
            </w:r>
            <w:r>
              <w:rPr>
                <w:rFonts w:hint="eastAsia" w:ascii="宋体" w:hAnsi="宋体" w:eastAsia="宋体" w:cs="宋体"/>
                <w:sz w:val="24"/>
                <w:szCs w:val="24"/>
                <w:highlight w:val="none"/>
                <w:lang w:eastAsia="zh-CN"/>
              </w:rPr>
              <w:t xml:space="preserve">医用气体检测机构出具检测合格报告的，得</w:t>
            </w:r>
            <w:r>
              <w:rPr>
                <w:rFonts w:hint="eastAsia" w:ascii="宋体" w:hAnsi="宋体" w:eastAsia="宋体" w:cs="宋体"/>
                <w:sz w:val="24"/>
                <w:szCs w:val="24"/>
                <w:highlight w:val="none"/>
                <w:lang w:val="en-US" w:eastAsia="zh-CN"/>
              </w:rPr>
              <w:t xml:space="preserve">4分。</w:t>
            </w:r>
            <w:r/>
          </w:p>
          <w:p>
            <w:pPr>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b/>
                <w:bCs/>
                <w:color w:val="000000"/>
                <w:sz w:val="24"/>
                <w:highlight w:val="none"/>
              </w:rPr>
              <w:t xml:space="preserve">须同时提供：</w:t>
            </w:r>
            <w:r>
              <w:rPr>
                <w:rFonts w:hint="eastAsia" w:ascii="宋体" w:hAnsi="宋体"/>
                <w:b/>
                <w:bCs/>
                <w:color w:val="000000"/>
                <w:sz w:val="24"/>
                <w:highlight w:val="none"/>
                <w:lang w:eastAsia="zh-CN"/>
              </w:rPr>
              <w:t xml:space="preserve">检测报告</w:t>
            </w:r>
            <w:r>
              <w:rPr>
                <w:rFonts w:hint="eastAsia" w:ascii="宋体" w:hAnsi="宋体"/>
                <w:b/>
                <w:bCs/>
                <w:color w:val="000000"/>
                <w:sz w:val="24"/>
                <w:highlight w:val="none"/>
              </w:rPr>
              <w:t xml:space="preserve">的扫描件</w:t>
            </w:r>
            <w:r>
              <w:rPr>
                <w:rFonts w:hint="eastAsia" w:ascii="宋体" w:hAnsi="宋体"/>
                <w:b/>
                <w:bCs/>
                <w:color w:val="000000"/>
                <w:sz w:val="24"/>
                <w:highlight w:val="none"/>
                <w:lang w:eastAsia="zh-CN"/>
              </w:rPr>
              <w:t xml:space="preserve">，并</w:t>
            </w:r>
            <w:r>
              <w:rPr>
                <w:rFonts w:hint="eastAsia" w:ascii="宋体" w:hAnsi="宋体" w:eastAsia="宋体" w:cs="宋体"/>
                <w:b/>
                <w:bCs/>
                <w:sz w:val="24"/>
                <w:highlight w:val="none"/>
              </w:rPr>
              <w:t xml:space="preserve">加盖供应商公章。</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spacing w:line="460" w:lineRule="exact"/>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p>
        </w:tc>
      </w:tr>
      <w:tr>
        <w:trPr>
          <w:jc w:val="center"/>
          <w:trHeight w:val="1957"/>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460" w:lineRule="exact"/>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项目组成员</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拟派技术负责人</w:t>
            </w:r>
            <w:r>
              <w:rPr>
                <w:rFonts w:hint="eastAsia" w:ascii="宋体" w:hAnsi="宋体" w:cs="宋体"/>
                <w:sz w:val="24"/>
                <w:szCs w:val="24"/>
                <w:highlight w:val="none"/>
                <w:lang w:eastAsia="zh-CN"/>
              </w:rPr>
              <w:t xml:space="preserve">（非项目负责人），</w:t>
            </w:r>
            <w:r>
              <w:rPr>
                <w:rFonts w:hint="eastAsia" w:ascii="宋体" w:hAnsi="宋体" w:cs="宋体"/>
                <w:sz w:val="24"/>
                <w:szCs w:val="24"/>
                <w:highlight w:val="none"/>
              </w:rPr>
              <w:t xml:space="preserve">同时具有</w:t>
            </w:r>
            <w:r>
              <w:rPr>
                <w:rFonts w:hint="eastAsia" w:ascii="宋体" w:hAnsi="宋体" w:eastAsia="宋体" w:cs="宋体"/>
                <w:sz w:val="24"/>
                <w:szCs w:val="24"/>
                <w:highlight w:val="none"/>
              </w:rPr>
              <w:t xml:space="preserve">①</w:t>
            </w:r>
            <w:r>
              <w:rPr>
                <w:rFonts w:hint="eastAsia" w:ascii="宋体" w:hAnsi="宋体" w:cs="宋体"/>
                <w:sz w:val="24"/>
                <w:szCs w:val="24"/>
                <w:highlight w:val="none"/>
              </w:rPr>
              <w:t xml:space="preserve">特种设备安全管理和作业人员证（项目代号 A）和</w:t>
            </w:r>
            <w:r>
              <w:rPr>
                <w:rFonts w:hint="eastAsia" w:ascii="宋体" w:hAnsi="宋体" w:eastAsia="宋体" w:cs="宋体"/>
                <w:sz w:val="24"/>
                <w:szCs w:val="24"/>
                <w:highlight w:val="none"/>
              </w:rPr>
              <w:t xml:space="preserve">②</w:t>
            </w:r>
            <w:r>
              <w:rPr>
                <w:rFonts w:hint="eastAsia" w:ascii="宋体" w:hAnsi="宋体" w:cs="宋体"/>
                <w:sz w:val="24"/>
                <w:szCs w:val="24"/>
                <w:highlight w:val="none"/>
              </w:rPr>
              <w:t xml:space="preserve">特种设备安全管理和作业人员证（项目代号 </w:t>
            </w:r>
            <w:r>
              <w:rPr>
                <w:rFonts w:hint="eastAsia" w:ascii="宋体" w:hAnsi="宋体" w:cs="宋体"/>
                <w:sz w:val="24"/>
                <w:szCs w:val="24"/>
                <w:highlight w:val="none"/>
                <w:lang w:val="en-US" w:eastAsia="zh-CN"/>
              </w:rPr>
              <w:t xml:space="preserve">R1</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jc w:val="left"/>
              <w:rPr>
                <w:rFonts w:hint="eastAsia" w:ascii="Times New Roman" w:hAnsi="Times New Roman" w:eastAsia="宋体" w:cs="Times New Roman"/>
                <w:sz w:val="21"/>
                <w:szCs w:val="24"/>
                <w:highlight w:val="none"/>
                <w:lang w:val="en-US" w:eastAsia="zh-CN" w:bidi="ar-SA"/>
              </w:rPr>
            </w:pPr>
            <w:r>
              <w:rPr>
                <w:rFonts w:hint="eastAsia" w:ascii="宋体" w:hAnsi="宋体" w:cs="宋体"/>
                <w:b/>
                <w:color w:val="000000"/>
                <w:sz w:val="24"/>
                <w:szCs w:val="24"/>
                <w:highlight w:val="none"/>
                <w:lang w:eastAsia="zh-CN"/>
              </w:rPr>
              <w:t xml:space="preserve">上述人员</w:t>
            </w:r>
            <w:r>
              <w:rPr>
                <w:rFonts w:hint="eastAsia" w:ascii="宋体" w:hAnsi="宋体" w:cs="宋体"/>
                <w:b/>
                <w:color w:val="000000"/>
                <w:sz w:val="24"/>
                <w:szCs w:val="24"/>
                <w:highlight w:val="none"/>
              </w:rPr>
              <w:t xml:space="preserve">须同时提供</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①证书原件的扫描件，并加盖公章</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②</w:t>
            </w:r>
            <w:r>
              <w:rPr>
                <w:rFonts w:hint="eastAsia" w:ascii="宋体" w:hAnsi="宋体" w:cs="宋体"/>
                <w:b/>
                <w:color w:val="000000"/>
                <w:sz w:val="24"/>
                <w:szCs w:val="24"/>
                <w:highlight w:val="none"/>
                <w:lang w:eastAsia="zh-CN"/>
              </w:rPr>
              <w:t xml:space="preserve">社保机构出具的</w:t>
            </w:r>
            <w:r>
              <w:rPr>
                <w:rFonts w:hint="eastAsia" w:ascii="宋体" w:hAnsi="宋体" w:cs="宋体"/>
                <w:b/>
                <w:color w:val="000000"/>
                <w:sz w:val="24"/>
                <w:szCs w:val="24"/>
                <w:highlight w:val="none"/>
              </w:rPr>
              <w:t xml:space="preserve">投标人为其缴纳</w:t>
            </w:r>
            <w:r>
              <w:rPr>
                <w:rFonts w:hint="eastAsia" w:ascii="宋体" w:hAnsi="宋体" w:cs="宋体"/>
                <w:b/>
                <w:color w:val="000000"/>
                <w:sz w:val="24"/>
                <w:szCs w:val="24"/>
                <w:highlight w:val="none"/>
                <w:lang w:eastAsia="zh-CN"/>
              </w:rPr>
              <w:t xml:space="preserve">近期社</w:t>
            </w:r>
            <w:r>
              <w:rPr>
                <w:rFonts w:hint="eastAsia" w:ascii="宋体" w:hAnsi="宋体" w:eastAsia="宋体" w:cs="宋体"/>
                <w:b/>
                <w:color w:val="000000"/>
                <w:sz w:val="24"/>
                <w:szCs w:val="24"/>
                <w:highlight w:val="none"/>
                <w:lang w:eastAsia="zh-CN"/>
              </w:rPr>
              <w:t xml:space="preserve">保</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至少缴纳了</w:t>
            </w:r>
            <w:r>
              <w:rPr>
                <w:rFonts w:hint="eastAsia" w:ascii="宋体" w:hAnsi="宋体" w:eastAsia="宋体" w:cs="宋体"/>
                <w:b/>
                <w:color w:val="000000"/>
                <w:sz w:val="24"/>
                <w:szCs w:val="24"/>
                <w:highlight w:val="none"/>
                <w:lang w:val="en-US" w:eastAsia="zh-CN"/>
              </w:rPr>
              <w:t xml:space="preserve">2025年9月至2025年11月期间任意1个月</w:t>
            </w:r>
            <w:r>
              <w:rPr>
                <w:rFonts w:hint="eastAsia" w:ascii="宋体" w:hAnsi="宋体" w:cs="宋体"/>
                <w:b/>
                <w:color w:val="000000"/>
                <w:sz w:val="24"/>
                <w:szCs w:val="24"/>
                <w:highlight w:val="none"/>
              </w:rPr>
              <w:t xml:space="preserve">）的</w:t>
            </w:r>
            <w:r>
              <w:rPr>
                <w:rFonts w:hint="eastAsia" w:ascii="宋体" w:hAnsi="宋体" w:cs="宋体"/>
                <w:b/>
                <w:color w:val="000000"/>
                <w:sz w:val="24"/>
                <w:szCs w:val="24"/>
                <w:highlight w:val="none"/>
                <w:lang w:eastAsia="zh-CN"/>
              </w:rPr>
              <w:t xml:space="preserve">扫描</w:t>
            </w:r>
            <w:r>
              <w:rPr>
                <w:rFonts w:hint="eastAsia" w:ascii="宋体" w:hAnsi="宋体" w:cs="宋体"/>
                <w:b/>
                <w:color w:val="000000"/>
                <w:sz w:val="24"/>
                <w:szCs w:val="24"/>
                <w:highlight w:val="none"/>
              </w:rPr>
              <w:t xml:space="preserve">件。</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spacing w:line="460" w:lineRule="exact"/>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w:t>
            </w:r>
            <w:r/>
          </w:p>
        </w:tc>
      </w:tr>
      <w:tr>
        <w:trPr>
          <w:jc w:val="center"/>
          <w:trHeight w:val="2049"/>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46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技术响应</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所投产品的技术性能完全满足招标文件要求的得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，其中项目需求中</w:t>
            </w:r>
            <w:r>
              <w:rPr>
                <w:rFonts w:hint="eastAsia" w:ascii="宋体" w:hAnsi="宋体" w:eastAsia="宋体" w:cs="宋体"/>
                <w:sz w:val="24"/>
                <w:szCs w:val="24"/>
                <w:highlight w:val="none"/>
              </w:rPr>
              <w:t xml:space="preserve">带“</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”条款每有一项</w:t>
            </w:r>
            <w:r>
              <w:rPr>
                <w:rFonts w:hint="eastAsia" w:ascii="宋体" w:hAnsi="宋体" w:eastAsia="宋体" w:cs="宋体"/>
                <w:sz w:val="24"/>
                <w:szCs w:val="24"/>
                <w:highlight w:val="none"/>
                <w:lang w:eastAsia="zh-CN"/>
              </w:rPr>
              <w:t xml:space="preserve">负偏离（不满足）</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扣</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分，不带“</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”的每有一项</w:t>
            </w:r>
            <w:r>
              <w:rPr>
                <w:rFonts w:hint="eastAsia" w:ascii="宋体" w:hAnsi="宋体" w:eastAsia="宋体" w:cs="宋体"/>
                <w:sz w:val="24"/>
                <w:szCs w:val="24"/>
                <w:highlight w:val="none"/>
                <w:lang w:eastAsia="zh-CN"/>
              </w:rPr>
              <w:t xml:space="preserve">负偏离（不满足）的，</w:t>
            </w:r>
            <w:r>
              <w:rPr>
                <w:rFonts w:hint="eastAsia"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直至</w:t>
            </w:r>
            <w:r>
              <w:rPr>
                <w:rFonts w:hint="eastAsia" w:ascii="宋体" w:hAnsi="宋体" w:eastAsia="宋体" w:cs="宋体"/>
                <w:sz w:val="24"/>
                <w:szCs w:val="24"/>
                <w:highlight w:val="none"/>
              </w:rPr>
              <w:t xml:space="preserve">扣完为止。</w:t>
            </w:r>
            <w:r/>
          </w:p>
          <w:p>
            <w:pPr>
              <w:jc w:val="left"/>
              <w:rPr>
                <w:rFonts w:hint="eastAsia" w:ascii="宋体" w:hAnsi="宋体" w:eastAsia="宋体" w:cs="宋体"/>
                <w:b/>
                <w:color w:val="000000"/>
                <w:sz w:val="24"/>
                <w:szCs w:val="24"/>
                <w:highlight w:val="none"/>
                <w:lang w:val="en-US" w:eastAsia="zh-CN" w:bidi="ar-SA"/>
              </w:rPr>
            </w:pPr>
            <w:r>
              <w:rPr>
                <w:rFonts w:hint="eastAsia" w:ascii="宋体" w:hAnsi="宋体"/>
                <w:b/>
                <w:bCs/>
                <w:color w:val="000000"/>
                <w:sz w:val="24"/>
                <w:highlight w:val="none"/>
              </w:rPr>
              <w:t xml:space="preserve">须同时提供：</w:t>
            </w:r>
            <w:r>
              <w:rPr>
                <w:rFonts w:hint="eastAsia" w:ascii="宋体" w:hAnsi="宋体"/>
                <w:b/>
                <w:bCs/>
                <w:color w:val="000000"/>
                <w:sz w:val="24"/>
                <w:highlight w:val="none"/>
                <w:lang w:eastAsia="zh-CN"/>
              </w:rPr>
              <w:t xml:space="preserve">偏离表，其</w:t>
            </w:r>
            <w:r>
              <w:rPr>
                <w:rFonts w:hint="eastAsia" w:ascii="宋体" w:hAnsi="宋体" w:eastAsia="宋体" w:cs="Times New Roman"/>
                <w:b/>
                <w:bCs/>
                <w:color w:val="000000"/>
                <w:sz w:val="24"/>
                <w:highlight w:val="none"/>
                <w:lang w:eastAsia="zh-CN"/>
              </w:rPr>
              <w:t xml:space="preserve">中带“</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eastAsia="zh-CN"/>
              </w:rPr>
              <w:t xml:space="preserve">”条款必须根据项目需求要求提供相关证明材料的扫描件，并加盖供应商公章。未提供相关资料或不满足要求的则视为</w:t>
            </w:r>
            <w:r>
              <w:rPr>
                <w:rFonts w:hint="eastAsia" w:ascii="宋体" w:hAnsi="宋体" w:eastAsia="宋体" w:cs="宋体"/>
                <w:b/>
                <w:bCs/>
                <w:sz w:val="24"/>
                <w:szCs w:val="24"/>
                <w:highlight w:val="none"/>
                <w:lang w:eastAsia="zh-CN"/>
              </w:rPr>
              <w:t xml:space="preserve">负偏离（不满足）。</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spacing w:line="460" w:lineRule="exact"/>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p>
        </w:tc>
      </w:tr>
      <w:tr>
        <w:trPr>
          <w:jc w:val="center"/>
          <w:trHeight w:val="1584"/>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276" w:lineRule="auto"/>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施工部署</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jc w:val="left"/>
              <w:spacing w:line="276" w:lineRule="auto"/>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明确项目总体布置、施工组织结构、工程项目内容及分工、项目施工顺序等。内容全面科学、针对性</w:t>
            </w:r>
            <w:r>
              <w:rPr>
                <w:rFonts w:hint="eastAsia" w:ascii="宋体" w:hAnsi="宋体" w:cs="宋体"/>
                <w:sz w:val="24"/>
                <w:highlight w:val="none"/>
                <w:lang w:eastAsia="zh-CN"/>
              </w:rPr>
              <w:t xml:space="preserve">强</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分；内容较全面、具有一定的针对性得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分；内容粗略或针对性有所欠缺得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分；缺项得0分。</w:t>
            </w:r>
            <w:r/>
          </w:p>
        </w:tc>
        <w:tc>
          <w:tcPr>
            <w:shd w:val="clear" w:color="auto" w:fill="auto"/>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spacing w:line="4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p>
        </w:tc>
      </w:tr>
      <w:tr>
        <w:trPr>
          <w:jc w:val="center"/>
          <w:trHeight w:val="1584"/>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276" w:lineRule="auto"/>
              <w:widowControl/>
              <w:rPr>
                <w:rFonts w:ascii="宋体" w:hAnsi="宋体" w:cs="宋体"/>
                <w:sz w:val="24"/>
                <w:highlight w:val="none"/>
              </w:rPr>
            </w:pPr>
            <w:r>
              <w:rPr>
                <w:rFonts w:hint="eastAsia" w:ascii="宋体" w:hAnsi="宋体" w:cs="宋体"/>
                <w:sz w:val="24"/>
                <w:highlight w:val="none"/>
              </w:rPr>
              <w:t xml:space="preserve">主要施工</w:t>
            </w:r>
            <w:r/>
          </w:p>
          <w:p>
            <w:pPr>
              <w:jc w:val="center"/>
              <w:spacing w:line="276" w:lineRule="auto"/>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方法</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jc w:val="left"/>
              <w:spacing w:line="27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包括关键工序、特殊过程的确认及施工方法、技术要求。内容全面科学、具有针对性的，得5分；内容较全面、具有一定的针对性的，得3分；内容粗略或针对性有所欠缺的，得1分；缺项得0分。</w:t>
            </w:r>
            <w:r/>
          </w:p>
        </w:tc>
        <w:tc>
          <w:tcPr>
            <w:shd w:val="clear" w:color="auto" w:fill="auto"/>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spacing w:line="460" w:lineRule="exact"/>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5</w:t>
            </w:r>
            <w:r/>
          </w:p>
        </w:tc>
      </w:tr>
      <w:tr>
        <w:trPr>
          <w:jc w:val="center"/>
          <w:trHeight w:val="1577"/>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工期保证</w:t>
            </w:r>
            <w:r/>
          </w:p>
          <w:p>
            <w:pPr>
              <w:jc w:val="center"/>
              <w:spacing w:line="276" w:lineRule="auto"/>
              <w:widowControl/>
              <w:rPr>
                <w:rFonts w:ascii="宋体" w:hAnsi="宋体" w:eastAsia="宋体" w:cs="宋体"/>
                <w:sz w:val="24"/>
                <w:szCs w:val="24"/>
                <w:highlight w:val="none"/>
                <w:lang w:val="en-US" w:eastAsia="zh-CN" w:bidi="ar-SA"/>
              </w:rPr>
            </w:pPr>
            <w:r>
              <w:rPr>
                <w:rFonts w:hint="eastAsia" w:ascii="宋体" w:hAnsi="宋体" w:cs="宋体"/>
                <w:sz w:val="24"/>
                <w:highlight w:val="none"/>
              </w:rPr>
              <w:t xml:space="preserve">措施</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jc w:val="left"/>
              <w:spacing w:line="27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工期目标及工期保证措施。内容全面科学、措施得当，具有针对性的，得5分；内容较全面、措施较合理，具有一定的针对性的，得3分；内容粗略或针对性有所欠缺的，得1分；缺项得0分。</w:t>
            </w:r>
            <w:r/>
          </w:p>
        </w:tc>
        <w:tc>
          <w:tcPr>
            <w:shd w:val="clear" w:color="auto" w:fill="auto"/>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spacing w:line="46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5</w:t>
            </w:r>
            <w:r/>
          </w:p>
        </w:tc>
      </w:tr>
      <w:tr>
        <w:trPr>
          <w:jc w:val="center"/>
          <w:trHeight w:val="1517"/>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质量保证</w:t>
            </w:r>
            <w:r/>
          </w:p>
          <w:p>
            <w:pPr>
              <w:jc w:val="center"/>
              <w:spacing w:line="276" w:lineRule="auto"/>
              <w:widowControl/>
              <w:rPr>
                <w:rFonts w:ascii="宋体" w:hAnsi="宋体" w:eastAsia="宋体" w:cs="宋体"/>
                <w:sz w:val="24"/>
                <w:szCs w:val="24"/>
                <w:highlight w:val="none"/>
                <w:lang w:val="en-US" w:eastAsia="zh-CN" w:bidi="ar-SA"/>
              </w:rPr>
            </w:pPr>
            <w:r>
              <w:rPr>
                <w:rFonts w:hint="eastAsia" w:ascii="宋体" w:hAnsi="宋体" w:cs="宋体"/>
                <w:sz w:val="24"/>
                <w:highlight w:val="none"/>
              </w:rPr>
              <w:t xml:space="preserve">措施</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jc w:val="left"/>
              <w:spacing w:line="27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目标，结合本项目特点，制定具体项目中的质量保证措施。内容全面科学、措施得当，具有针对性的，得5分；内容较全面、措施较合理，具有一定的针对性的，得3分；内容粗略或针对性有所欠缺的，得1分；缺项得0分。</w:t>
            </w:r>
            <w:r/>
          </w:p>
        </w:tc>
        <w:tc>
          <w:tcPr>
            <w:shd w:val="clear" w:color="auto" w:fill="auto"/>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spacing w:line="46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5</w:t>
            </w:r>
            <w:r/>
          </w:p>
        </w:tc>
      </w:tr>
      <w:tr>
        <w:trPr>
          <w:jc w:val="center"/>
          <w:trHeight w:val="1505"/>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276"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安全文明</w:t>
            </w:r>
            <w:r/>
          </w:p>
          <w:p>
            <w:pPr>
              <w:jc w:val="center"/>
              <w:spacing w:line="27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施工措施</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jc w:val="left"/>
              <w:spacing w:line="27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全文明施工目标，结合本项目特点，制定具体安全文明施工措施专篇。内容全面科学、措施得当，具有针对性的，得5分；内容较全面、措施较合理，具有一定的针对性的，得3分；内容粗略或针对性有所欠缺的，得1分；缺项得0分。</w:t>
            </w:r>
            <w:r/>
          </w:p>
        </w:tc>
        <w:tc>
          <w:tcPr>
            <w:shd w:val="clear" w:color="auto" w:fill="auto"/>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spacing w:line="46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5</w:t>
            </w:r>
            <w:r/>
          </w:p>
        </w:tc>
      </w:tr>
      <w:tr>
        <w:trPr>
          <w:jc w:val="center"/>
          <w:trHeight w:val="154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27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环境保护管理体系与措施</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jc w:val="left"/>
              <w:spacing w:line="27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环境保护管理体系与措施，结合本项目特点，针对性、合理性、可操作性强的，得5分；针对性、合理性、可操作性较强的，得3分；针对性、合理性、可操作性一般的，得1分；未提供的，不得分。</w:t>
            </w:r>
            <w:r/>
          </w:p>
        </w:tc>
        <w:tc>
          <w:tcPr>
            <w:shd w:val="clear" w:color="auto" w:fill="auto"/>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spacing w:line="46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5</w:t>
            </w:r>
            <w:r/>
          </w:p>
        </w:tc>
      </w:tr>
      <w:tr>
        <w:trPr>
          <w:jc w:val="center"/>
          <w:trHeight w:val="1952"/>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494" w:type="dxa"/>
            <w:vAlign w:val="center"/>
            <w:textDirection w:val="lrTb"/>
            <w:noWrap/>
          </w:tcPr>
          <w:p>
            <w:pPr>
              <w:jc w:val="center"/>
              <w:spacing w:line="276" w:lineRule="auto"/>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lang w:eastAsia="zh-CN"/>
              </w:rPr>
              <w:t xml:space="preserve">售后服务</w:t>
            </w:r>
            <w:r/>
          </w:p>
        </w:tc>
        <w:tc>
          <w:tcPr>
            <w:shd w:val="clear" w:color="auto" w:fill="auto"/>
            <w:tcBorders>
              <w:top w:val="single" w:color="000000" w:sz="4" w:space="0"/>
              <w:left w:val="none" w:color="000000" w:sz="4" w:space="0"/>
              <w:bottom w:val="single" w:color="000000" w:sz="4" w:space="0"/>
              <w:right w:val="single" w:color="000000" w:sz="4" w:space="0"/>
            </w:tcBorders>
            <w:tcW w:w="7030" w:type="dxa"/>
            <w:vAlign w:val="center"/>
            <w:textDirection w:val="lrTb"/>
            <w:noWrap/>
          </w:tcPr>
          <w:p>
            <w:pPr>
              <w:jc w:val="left"/>
              <w:spacing w:line="27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售后服务方案(含售后服务措施、技术支持与培训、故障维修响应时间承诺等)的合理性、完整性等进行评分。内容完整且售后服务保障得力的，得5分；内容完整，有一定的售后服务保障的，得3分；内容不完整或保障措施不可行的，得1分；未提供不得分。</w:t>
            </w:r>
            <w:r/>
          </w:p>
        </w:tc>
        <w:tc>
          <w:tcPr>
            <w:shd w:val="clear" w:color="auto" w:fill="auto"/>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jc w:val="center"/>
              <w:spacing w:line="276"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5</w:t>
            </w:r>
            <w:r/>
          </w:p>
        </w:tc>
      </w:tr>
    </w:tbl>
    <w:p>
      <w:pPr>
        <w:ind w:firstLine="561"/>
        <w:jc w:val="left"/>
        <w:spacing w:before="12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（二）价格分：3</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分</w:t>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磋商报价得分=（磋商基准价/最后磋商报价）×3</w:t>
      </w:r>
      <w:r>
        <w:rPr>
          <w:rFonts w:hint="eastAsia" w:ascii="宋体" w:hAnsi="宋体" w:cs="宋体"/>
          <w:bCs/>
          <w:color w:val="000000"/>
          <w:sz w:val="24"/>
          <w:highlight w:val="none"/>
          <w:lang w:val="en-US" w:eastAsia="zh-CN"/>
        </w:rPr>
        <w:t xml:space="preserve">0</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磋商小组</w:t>
      </w:r>
      <w:r>
        <w:rPr>
          <w:rFonts w:hint="eastAsia" w:ascii="宋体" w:hAnsi="宋体" w:cs="宋体"/>
          <w:b/>
          <w:sz w:val="24"/>
          <w:highlight w:val="none"/>
          <w:lang w:eastAsia="zh-CN"/>
        </w:rPr>
        <w:t xml:space="preserve">在异常低价审查时，</w:t>
      </w:r>
      <w:r>
        <w:rPr>
          <w:rFonts w:ascii="宋体" w:hAnsi="宋体" w:cs="宋体"/>
          <w:b/>
          <w:sz w:val="24"/>
          <w:highlight w:val="none"/>
        </w:rPr>
        <w:t xml:space="preserve">认为供应商的报价有可能影响产品质量或者不能诚信履约的，应当要求其在30分钟内提供书面说明，必要时提交相关证明材料；供应商不能证明其报价合理性的，磋商小组应当将其作为无效响应处理。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eastAsia" w:ascii="宋体" w:hAnsi="宋体" w:cs="宋体"/>
          <w:b/>
          <w:bCs/>
          <w:sz w:val="24"/>
          <w:highlight w:val="none"/>
        </w:rPr>
      </w:pPr>
      <w:r>
        <w:rPr>
          <w:rFonts w:hint="eastAsia" w:ascii="宋体" w:hAnsi="宋体" w:cs="宋体"/>
          <w:b/>
          <w:sz w:val="24"/>
          <w:highlight w:val="none"/>
        </w:rPr>
        <w:t xml:space="preserve">（三）</w:t>
      </w:r>
      <w:r>
        <w:rPr>
          <w:rFonts w:hint="eastAsia" w:ascii="宋体" w:hAnsi="宋体" w:cs="宋体"/>
          <w:b/>
          <w:bCs/>
          <w:sz w:val="24"/>
          <w:highlight w:val="none"/>
        </w:rPr>
        <w:t xml:space="preserve">政府采购政策功能落实</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1、小微型企业价格扣除</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（1）本项目对小型和微型企业产品给予10%的扣除价格，用扣除后的价格参与评审。</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（2）供应商需按照《政府采购促进中小企业发展管理办法》（财库﹝2020﹞46 号）的规定提供相应的《中小企业声明函》。</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（3）企业标准请参照《关于印发中小企业划型标准规定的通知》（工信部联企业[2011]300号）文件规定自行填写。</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2、残疾人福利单位价格扣除</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（1）本项目对残疾人福利性单位，给予10%的价格扣除，用扣除后的价格参与评审。</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（2）残疾人福利单位需按照采购文件的要求提供《残疾人福利性单位声明函》。</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（3）残疾人福利单位标准请参照《关于促进残疾人就业政府采购政策的通知》（财库〔2017〕141号）。</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3、监狱和戒毒企业价格扣除</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（1）本项目对监狱和戒毒企业（简称监狱企业）给予10%的价格扣除，用扣除后的价格参与评审。</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（3）监狱企业标准请参照《关于政府采购支持监狱企业发展有关问题的通知》（财库[2014]68号）。</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4、残疾人福利单位、监狱企业属于小型、微型企业的，不重复享受政策。</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570"/>
        <w:spacing w:line="360" w:lineRule="auto"/>
        <w:rPr>
          <w:rFonts w:hint="eastAsia" w:ascii="宋体" w:hAnsi="宋体" w:cs="宋体"/>
          <w:bCs/>
          <w:sz w:val="24"/>
          <w:highlight w:val="none"/>
        </w:rPr>
      </w:pPr>
      <w:r>
        <w:rPr>
          <w:rFonts w:hint="eastAsia" w:ascii="宋体" w:hAnsi="宋体" w:cs="宋体"/>
          <w:bCs/>
          <w:sz w:val="24"/>
          <w:highlight w:val="none"/>
        </w:rPr>
        <w:t xml:space="preserve">6、联合体各方均为小型、微型企业（残疾人福利单位、监狱企业）的，联合体享受上述同类价格扣除，用扣除后的价格参与评审。</w:t>
      </w:r>
      <w:r/>
    </w:p>
    <w:p>
      <w:pPr>
        <w:ind w:firstLine="570"/>
        <w:spacing w:line="360" w:lineRule="auto"/>
        <w:rPr>
          <w:rFonts w:hint="eastAsia" w:ascii="宋体" w:hAnsi="宋体" w:cs="宋体"/>
          <w:b/>
          <w:sz w:val="24"/>
          <w:highlight w:val="none"/>
        </w:rPr>
      </w:pPr>
      <w:r>
        <w:rPr>
          <w:rFonts w:hint="eastAsia" w:ascii="宋体" w:hAnsi="宋体" w:cs="宋体"/>
          <w:b/>
          <w:sz w:val="24"/>
          <w:highlight w:val="none"/>
        </w:rPr>
        <w:t xml:space="preserve">7、专门面向中小企业采购的项目或者采购包，不再执行价格评审优惠的扶持政策。</w:t>
      </w:r>
      <w:r/>
    </w:p>
    <w:p>
      <w:pPr>
        <w:ind w:firstLine="570"/>
        <w:spacing w:line="360" w:lineRule="auto"/>
        <w:rPr>
          <w:rFonts w:hint="eastAsia" w:ascii="宋体" w:hAnsi="宋体" w:cs="宋体"/>
          <w:bCs/>
          <w:sz w:val="24"/>
          <w:highlight w:val="none"/>
        </w:rPr>
      </w:pPr>
      <w:r>
        <w:rPr>
          <w:rFonts w:hint="eastAsia" w:ascii="宋体" w:hAnsi="宋体" w:cs="宋体"/>
          <w:b/>
          <w:sz w:val="24"/>
          <w:highlight w:val="none"/>
        </w:rPr>
        <w:t xml:space="preserve">七、成交供应商的确定</w:t>
      </w:r>
      <w:r/>
    </w:p>
    <w:p>
      <w:pPr>
        <w:ind w:firstLine="570"/>
        <w:spacing w:line="360" w:lineRule="auto"/>
        <w:rPr>
          <w:rFonts w:hint="eastAsia" w:ascii="宋体" w:hAnsi="宋体" w:cs="宋体"/>
          <w:sz w:val="24"/>
          <w:highlight w:val="none"/>
        </w:rPr>
      </w:pPr>
      <w:r>
        <w:rPr>
          <w:rFonts w:hint="eastAsia" w:ascii="宋体" w:hAnsi="宋体" w:cs="宋体"/>
          <w:sz w:val="24"/>
          <w:highlight w:val="none"/>
        </w:rPr>
        <w:t xml:space="preserve">1、磋商小组应当根据综合评分情况，按照评审得分由高到低顺序推荐3名成交候选供应商，并编写评审报告。</w:t>
      </w:r>
      <w:r/>
    </w:p>
    <w:p>
      <w:pPr>
        <w:ind w:firstLine="570"/>
        <w:spacing w:line="360" w:lineRule="auto"/>
        <w:rPr>
          <w:rFonts w:hint="eastAsia" w:ascii="宋体" w:hAnsi="宋体" w:cs="宋体"/>
          <w:sz w:val="24"/>
          <w:highlight w:val="none"/>
        </w:rPr>
      </w:pPr>
      <w:r>
        <w:rPr>
          <w:rFonts w:hint="eastAsia" w:ascii="宋体" w:hAnsi="宋体" w:cs="宋体"/>
          <w:sz w:val="24"/>
          <w:highlight w:val="none"/>
        </w:rPr>
        <w:t xml:space="preserve">2、磋商评审时，评委对评审的细则若有争议，由磋商小组集体讨论确定，并对未尽情况有最终解释权。</w:t>
      </w:r>
      <w:r/>
    </w:p>
    <w:p>
      <w:pPr>
        <w:ind w:firstLine="570"/>
        <w:spacing w:line="360" w:lineRule="auto"/>
        <w:rPr>
          <w:rFonts w:hint="eastAsia" w:ascii="宋体" w:hAnsi="宋体" w:cs="宋体"/>
          <w:sz w:val="24"/>
          <w:highlight w:val="none"/>
        </w:rPr>
      </w:pPr>
      <w:r>
        <w:rPr>
          <w:rFonts w:hint="eastAsia" w:ascii="宋体" w:hAnsi="宋体" w:cs="宋体"/>
          <w:sz w:val="24"/>
          <w:highlight w:val="none"/>
        </w:rPr>
        <w:t xml:space="preserve">3、对落标的供应商不做落标原因的解释。</w:t>
      </w:r>
      <w:r/>
    </w:p>
    <w:p>
      <w:pPr>
        <w:ind w:firstLine="570"/>
        <w:spacing w:line="360" w:lineRule="auto"/>
        <w:rPr>
          <w:rFonts w:hint="eastAsia" w:ascii="宋体" w:hAnsi="宋体" w:cs="宋体"/>
          <w:sz w:val="24"/>
          <w:highlight w:val="none"/>
        </w:rPr>
      </w:pPr>
      <w:r>
        <w:rPr>
          <w:rFonts w:hint="eastAsia" w:ascii="宋体" w:hAnsi="宋体" w:cs="宋体"/>
          <w:sz w:val="24"/>
          <w:highlight w:val="none"/>
        </w:rPr>
        <w:t xml:space="preserve">4、采购单位根据磋商小组推荐的成交候选应商确定1名成交供应商。</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八、公告成交结果</w:t>
      </w:r>
      <w:r/>
    </w:p>
    <w:p>
      <w:pPr>
        <w:ind w:firstLine="570"/>
        <w:spacing w:line="360" w:lineRule="auto"/>
        <w:rPr>
          <w:rFonts w:hint="eastAsia" w:ascii="宋体" w:hAnsi="宋体" w:cs="宋体"/>
          <w:sz w:val="24"/>
          <w:highlight w:val="none"/>
        </w:rPr>
      </w:pPr>
      <w:r>
        <w:rPr>
          <w:rFonts w:hint="eastAsia" w:ascii="宋体" w:hAnsi="宋体" w:cs="宋体"/>
          <w:sz w:val="24"/>
          <w:highlight w:val="none"/>
        </w:rPr>
        <w:t xml:space="preserve">自确定成交供应商之日起2个工作日内，在“江苏省政府采购网”公告成交结果，公告期限为1个工作日。</w:t>
      </w:r>
      <w:r/>
    </w:p>
    <w:p>
      <w:pPr>
        <w:ind w:firstLine="482"/>
        <w:spacing w:line="360" w:lineRule="auto"/>
        <w:rPr>
          <w:rFonts w:hint="eastAsia" w:ascii="宋体" w:hAnsi="宋体" w:cs="宋体"/>
          <w:b/>
          <w:bCs/>
          <w:sz w:val="24"/>
          <w:highlight w:val="none"/>
        </w:rPr>
      </w:pPr>
      <w:r>
        <w:rPr>
          <w:rFonts w:hint="eastAsia" w:ascii="宋体" w:hAnsi="宋体" w:cs="宋体"/>
          <w:b/>
          <w:sz w:val="24"/>
          <w:highlight w:val="none"/>
        </w:rPr>
        <w:t xml:space="preserve">九、</w:t>
      </w:r>
      <w:r>
        <w:rPr>
          <w:rFonts w:hint="eastAsia" w:ascii="宋体" w:hAnsi="宋体" w:cs="宋体"/>
          <w:b/>
          <w:bCs/>
          <w:sz w:val="24"/>
          <w:highlight w:val="none"/>
        </w:rPr>
        <w:t xml:space="preserve">发放成交通知书</w:t>
      </w:r>
      <w:r/>
    </w:p>
    <w:p>
      <w:pPr>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公告成交结果的同时，采购单位</w:t>
      </w:r>
      <w:r>
        <w:rPr>
          <w:rFonts w:hint="eastAsia" w:ascii="宋体" w:hAnsi="宋体" w:cs="宋体"/>
          <w:bCs/>
          <w:sz w:val="24"/>
          <w:highlight w:val="none"/>
        </w:rPr>
        <w:t xml:space="preserve">向成交供应商发放成交通知书。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成交通知书发出后，采购单位不得违法改变成交结果，成交供应商无正当理由不得放弃成交。</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十、其他</w:t>
      </w:r>
      <w:r/>
    </w:p>
    <w:p>
      <w:pPr>
        <w:ind w:firstLine="570"/>
        <w:spacing w:line="360" w:lineRule="auto"/>
        <w:rPr>
          <w:rFonts w:hint="eastAsia" w:ascii="宋体" w:hAnsi="宋体" w:cs="宋体"/>
          <w:sz w:val="24"/>
          <w:highlight w:val="none"/>
        </w:rPr>
      </w:pPr>
      <w:r>
        <w:rPr>
          <w:rFonts w:hint="eastAsia" w:ascii="宋体" w:hAnsi="宋体" w:cs="宋体"/>
          <w:sz w:val="24"/>
          <w:highlight w:val="none"/>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p>
    <w:p>
      <w:pPr>
        <w:ind w:firstLine="570"/>
        <w:spacing w:line="360" w:lineRule="auto"/>
        <w:rPr>
          <w:rFonts w:hint="eastAsia" w:ascii="宋体" w:hAnsi="宋体" w:cs="宋体"/>
          <w:sz w:val="24"/>
          <w:highlight w:val="none"/>
        </w:rPr>
      </w:pPr>
      <w:r>
        <w:rPr>
          <w:rFonts w:hint="eastAsia" w:ascii="宋体" w:hAnsi="宋体" w:cs="宋体"/>
          <w:sz w:val="24"/>
          <w:highlight w:val="none"/>
        </w:rPr>
        <w:t xml:space="preserve">当排名第一的成交候选人放弃成交或因不可抗力不能履行合同或被查实存在影响成交结果的违法行为等情形，不符合成交条件的，采购单位可以按照磋商小组提出的成交候选人名单排序依次确定其他成交候选人为成交人，也可以重新组织采购。</w:t>
      </w:r>
      <w:r/>
    </w:p>
    <w:p>
      <w:pPr>
        <w:jc w:val="center"/>
        <w:spacing w:line="500" w:lineRule="exact"/>
        <w:rPr>
          <w:rFonts w:hint="eastAsia" w:ascii="宋体" w:hAnsi="宋体" w:cs="宋体"/>
          <w:b/>
          <w:bCs/>
          <w:color w:val="000000"/>
          <w:sz w:val="36"/>
          <w:szCs w:val="36"/>
          <w:highlight w:val="none"/>
          <w:lang w:val="zh-CN"/>
        </w:rPr>
        <w:outlineLvl w:val="0"/>
      </w:pPr>
      <w:r>
        <w:rPr>
          <w:rFonts w:hint="eastAsia" w:ascii="宋体" w:hAnsi="宋体" w:cs="宋体"/>
          <w:b/>
          <w:color w:val="000000"/>
          <w:sz w:val="28"/>
          <w:szCs w:val="28"/>
          <w:highlight w:val="none"/>
        </w:rPr>
        <w:br w:type="page" w:clear="all"/>
      </w:r>
      <w:r>
        <w:rPr>
          <w:rFonts w:hint="eastAsia" w:ascii="宋体" w:hAnsi="宋体" w:cs="宋体"/>
          <w:b/>
          <w:bCs/>
          <w:color w:val="000000"/>
          <w:sz w:val="36"/>
          <w:szCs w:val="36"/>
          <w:highlight w:val="none"/>
          <w:lang w:val="zh-CN"/>
        </w:rPr>
        <w:t xml:space="preserve">第五部分  合同条款及格式</w:t>
      </w:r>
      <w:r/>
    </w:p>
    <w:p>
      <w:pPr>
        <w:jc w:val="center"/>
        <w:spacing w:line="460" w:lineRule="exact"/>
        <w:rPr>
          <w:rFonts w:hint="eastAsia" w:ascii="宋体" w:hAnsi="宋体" w:cs="宋体"/>
          <w:b/>
          <w:bCs/>
          <w:color w:val="000000"/>
          <w:spacing w:val="60"/>
          <w:sz w:val="32"/>
          <w:szCs w:val="32"/>
          <w:highlight w:val="none"/>
        </w:rPr>
      </w:pPr>
      <w:r>
        <w:rPr>
          <w:rFonts w:hint="eastAsia" w:ascii="宋体" w:hAnsi="宋体" w:cs="宋体"/>
          <w:b/>
          <w:bCs/>
          <w:color w:val="000000"/>
          <w:spacing w:val="60"/>
          <w:sz w:val="32"/>
          <w:szCs w:val="32"/>
          <w:highlight w:val="none"/>
        </w:rPr>
      </w:r>
      <w:r/>
    </w:p>
    <w:p>
      <w:pPr>
        <w:jc w:val="center"/>
        <w:spacing w:line="460" w:lineRule="exact"/>
        <w:rPr>
          <w:rFonts w:hint="eastAsia" w:ascii="宋体" w:hAnsi="宋体" w:cs="宋体"/>
          <w:b/>
          <w:color w:val="000000"/>
          <w:sz w:val="32"/>
          <w:szCs w:val="32"/>
          <w:highlight w:val="none"/>
        </w:rPr>
      </w:pPr>
      <w:r>
        <w:rPr>
          <w:rFonts w:hint="eastAsia" w:ascii="宋体" w:hAnsi="宋体" w:cs="宋体"/>
          <w:b/>
          <w:bCs/>
          <w:color w:val="000000"/>
          <w:spacing w:val="60"/>
          <w:sz w:val="32"/>
          <w:szCs w:val="32"/>
          <w:highlight w:val="none"/>
        </w:rPr>
        <w:t xml:space="preserve">建设工程施工合同</w:t>
      </w:r>
      <w:r/>
    </w:p>
    <w:p>
      <w:pPr>
        <w:pStyle w:val="811"/>
        <w:jc w:val="center"/>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11"/>
        <w:jc w:val="center"/>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第一部分 合同协议书</w:t>
      </w:r>
      <w:r/>
    </w:p>
    <w:p>
      <w:pPr>
        <w:contextualSpacing/>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contextualSpacing/>
        <w:spacing w:line="46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发包人（全称）：</w:t>
      </w:r>
      <w:r>
        <w:rPr>
          <w:rFonts w:hint="eastAsia" w:ascii="宋体" w:hAnsi="宋体" w:cs="宋体"/>
          <w:b/>
          <w:color w:val="000000"/>
          <w:sz w:val="24"/>
          <w:highlight w:val="none"/>
          <w:u w:val="single"/>
        </w:rPr>
        <w:t xml:space="preserve">                                </w:t>
      </w:r>
      <w:r/>
    </w:p>
    <w:p>
      <w:pPr>
        <w:contextualSpacing/>
        <w:spacing w:line="460" w:lineRule="exact"/>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承包人（全称）：</w:t>
      </w:r>
      <w:r>
        <w:rPr>
          <w:rFonts w:hint="eastAsia" w:ascii="宋体" w:hAnsi="宋体" w:cs="宋体"/>
          <w:b/>
          <w:color w:val="000000"/>
          <w:sz w:val="24"/>
          <w:highlight w:val="none"/>
          <w:u w:val="single"/>
        </w:rPr>
        <w:t xml:space="preserve">                                </w:t>
      </w:r>
      <w:r/>
    </w:p>
    <w:p>
      <w:pPr>
        <w:contextualSpacing/>
        <w:ind w:firstLine="480"/>
        <w:spacing w:line="460" w:lineRule="exact"/>
        <w:rPr>
          <w:rFonts w:hint="eastAsia" w:ascii="宋体" w:hAnsi="宋体" w:cs="宋体"/>
          <w:color w:val="0000ff"/>
          <w:sz w:val="24"/>
          <w:highlight w:val="none"/>
        </w:rPr>
      </w:pPr>
      <w:r>
        <w:rPr>
          <w:rFonts w:hint="eastAsia" w:ascii="宋体" w:hAnsi="宋体" w:cs="宋体"/>
          <w:color w:val="0000ff"/>
          <w:sz w:val="24"/>
          <w:highlight w:val="none"/>
        </w:rPr>
      </w:r>
      <w:r/>
    </w:p>
    <w:p>
      <w:pPr>
        <w:contextualSpacing/>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rPr>
        <w:t xml:space="preserve">    （项目名称）   </w:t>
      </w:r>
      <w:r>
        <w:rPr>
          <w:rFonts w:hint="eastAsia" w:ascii="宋体" w:hAnsi="宋体" w:cs="宋体"/>
          <w:color w:val="000000"/>
          <w:sz w:val="24"/>
          <w:highlight w:val="none"/>
        </w:rPr>
        <w:t xml:space="preserve">施工及有关事项协商一致，共同达成如下协议：</w:t>
      </w:r>
      <w:r/>
    </w:p>
    <w:p>
      <w:pPr>
        <w:contextualSpacing/>
        <w:jc w:val="left"/>
        <w:spacing w:line="460" w:lineRule="exact"/>
        <w:rPr>
          <w:rFonts w:hint="eastAsia" w:ascii="宋体" w:hAnsi="宋体" w:cs="宋体"/>
          <w:color w:val="000000"/>
          <w:sz w:val="24"/>
          <w:highlight w:val="none"/>
        </w:rPr>
      </w:pPr>
      <w:r/>
      <w:bookmarkStart w:id="66" w:name="_Toc351203481"/>
      <w:r>
        <w:rPr>
          <w:rFonts w:hint="eastAsia" w:ascii="宋体" w:hAnsi="宋体" w:cs="宋体"/>
          <w:color w:val="000000"/>
          <w:sz w:val="24"/>
          <w:highlight w:val="none"/>
        </w:rPr>
        <w:t xml:space="preserve">一、工程概况</w:t>
      </w:r>
      <w:bookmarkEnd w:id="66"/>
      <w:r/>
      <w:r/>
    </w:p>
    <w:p>
      <w:pPr>
        <w:contextualSpacing/>
        <w:ind w:firstLine="470"/>
        <w:spacing w:line="4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1.工程名称</w:t>
      </w:r>
      <w:r>
        <w:rPr>
          <w:rFonts w:hint="eastAsia" w:ascii="宋体" w:hAnsi="宋体" w:cs="宋体"/>
          <w:color w:val="000000"/>
          <w:sz w:val="24"/>
          <w:highlight w:val="none"/>
        </w:rPr>
        <w:t xml:space="preserve">：</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p>
    <w:p>
      <w:pPr>
        <w:contextualSpacing/>
        <w:ind w:firstLine="47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2.工程地点：</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p>
    <w:p>
      <w:pPr>
        <w:contextualSpacing/>
        <w:ind w:firstLine="47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3.工程立项批准文号：</w:t>
      </w:r>
      <w:r>
        <w:rPr>
          <w:rFonts w:hint="eastAsia" w:ascii="宋体" w:hAnsi="宋体" w:cs="宋体"/>
          <w:b/>
          <w:color w:val="000000"/>
          <w:sz w:val="24"/>
          <w:highlight w:val="none"/>
          <w:u w:val="single"/>
        </w:rPr>
        <w:t xml:space="preserve">                        </w:t>
      </w:r>
      <w:r>
        <w:rPr>
          <w:rFonts w:hint="eastAsia" w:ascii="宋体" w:hAnsi="宋体" w:cs="宋体"/>
          <w:bCs/>
          <w:color w:val="000000"/>
          <w:sz w:val="24"/>
          <w:highlight w:val="none"/>
        </w:rPr>
        <w:t xml:space="preserve">。</w:t>
      </w:r>
      <w:r/>
    </w:p>
    <w:p>
      <w:pPr>
        <w:contextualSpacing/>
        <w:ind w:firstLine="47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4.资金来源：</w:t>
      </w:r>
      <w:r>
        <w:rPr>
          <w:rFonts w:hint="eastAsia" w:ascii="宋体" w:hAnsi="宋体" w:cs="宋体"/>
          <w:b/>
          <w:color w:val="000000"/>
          <w:sz w:val="24"/>
          <w:highlight w:val="none"/>
          <w:u w:val="single"/>
        </w:rPr>
        <w:t xml:space="preserve">                        </w:t>
      </w:r>
      <w:r>
        <w:rPr>
          <w:rFonts w:hint="eastAsia" w:ascii="宋体" w:hAnsi="宋体" w:cs="宋体"/>
          <w:bCs/>
          <w:color w:val="000000"/>
          <w:sz w:val="24"/>
          <w:highlight w:val="none"/>
        </w:rPr>
        <w:t xml:space="preserve">。</w:t>
      </w:r>
      <w:r/>
    </w:p>
    <w:p>
      <w:pPr>
        <w:contextualSpacing/>
        <w:ind w:firstLine="47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5.工程内容：</w:t>
      </w:r>
      <w:r>
        <w:rPr>
          <w:rFonts w:hint="eastAsia" w:ascii="宋体" w:hAnsi="宋体" w:cs="宋体"/>
          <w:b/>
          <w:color w:val="000000"/>
          <w:sz w:val="24"/>
          <w:highlight w:val="none"/>
          <w:u w:val="single"/>
        </w:rPr>
        <w:t xml:space="preserve">                        </w:t>
      </w:r>
      <w:r>
        <w:rPr>
          <w:rFonts w:hint="eastAsia" w:ascii="宋体" w:hAnsi="宋体" w:cs="宋体"/>
          <w:bCs/>
          <w:color w:val="000000"/>
          <w:sz w:val="24"/>
          <w:highlight w:val="none"/>
        </w:rPr>
        <w:t xml:space="preserve">。</w:t>
      </w:r>
      <w:r/>
    </w:p>
    <w:p>
      <w:pPr>
        <w:contextualSpacing/>
        <w:ind w:firstLine="470"/>
        <w:spacing w:line="4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群体工程应附《承包人承揽工程项目一览表》（附件1）。</w:t>
      </w:r>
      <w:r/>
    </w:p>
    <w:p>
      <w:pPr>
        <w:contextualSpacing/>
        <w:ind w:firstLine="470"/>
        <w:spacing w:line="4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6.工程承包范围：</w:t>
      </w:r>
      <w:r>
        <w:rPr>
          <w:rFonts w:hint="eastAsia" w:ascii="宋体" w:hAnsi="宋体" w:cs="宋体"/>
          <w:b/>
          <w:color w:val="000000"/>
          <w:sz w:val="24"/>
          <w:highlight w:val="none"/>
          <w:u w:val="single"/>
        </w:rPr>
        <w:t xml:space="preserve">                        </w:t>
      </w:r>
      <w:r/>
    </w:p>
    <w:p>
      <w:pPr>
        <w:contextualSpacing/>
        <w:jc w:val="left"/>
        <w:spacing w:line="460" w:lineRule="exact"/>
        <w:rPr>
          <w:rFonts w:hint="eastAsia" w:ascii="宋体" w:hAnsi="宋体" w:cs="宋体"/>
          <w:color w:val="000000"/>
          <w:sz w:val="24"/>
          <w:highlight w:val="none"/>
        </w:rPr>
      </w:pPr>
      <w:r/>
      <w:bookmarkStart w:id="67" w:name="_Toc351203482"/>
      <w:r>
        <w:rPr>
          <w:rFonts w:hint="eastAsia" w:ascii="宋体" w:hAnsi="宋体" w:cs="宋体"/>
          <w:color w:val="000000"/>
          <w:sz w:val="24"/>
          <w:highlight w:val="none"/>
        </w:rPr>
        <w:t xml:space="preserve">二、合同工期</w:t>
      </w:r>
      <w:bookmarkEnd w:id="67"/>
      <w:r/>
      <w:r/>
    </w:p>
    <w:p>
      <w:pPr>
        <w:contextualSpacing/>
        <w:ind w:firstLine="459"/>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计划开工日期：</w:t>
      </w:r>
      <w:r>
        <w:rPr>
          <w:rFonts w:hint="eastAsia" w:ascii="宋体" w:hAnsi="宋体" w:cs="宋体"/>
          <w:b/>
          <w:color w:val="000000"/>
          <w:sz w:val="24"/>
          <w:highlight w:val="none"/>
          <w:u w:val="single"/>
        </w:rPr>
        <w:t xml:space="preserve">2025</w:t>
      </w:r>
      <w:r>
        <w:rPr>
          <w:rFonts w:hint="eastAsia" w:ascii="宋体" w:hAnsi="宋体" w:cs="宋体"/>
          <w:color w:val="000000"/>
          <w:sz w:val="24"/>
          <w:highlight w:val="none"/>
        </w:rPr>
        <w:t xml:space="preserve">年</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日。计划竣工日期：</w:t>
      </w:r>
      <w:r>
        <w:rPr>
          <w:rFonts w:hint="eastAsia" w:ascii="宋体" w:hAnsi="宋体" w:cs="宋体"/>
          <w:b/>
          <w:color w:val="000000"/>
          <w:sz w:val="24"/>
          <w:highlight w:val="none"/>
          <w:u w:val="single"/>
        </w:rPr>
        <w:t xml:space="preserve">2025</w:t>
      </w:r>
      <w:r>
        <w:rPr>
          <w:rFonts w:hint="eastAsia" w:ascii="宋体" w:hAnsi="宋体" w:cs="宋体"/>
          <w:color w:val="000000"/>
          <w:sz w:val="24"/>
          <w:highlight w:val="none"/>
        </w:rPr>
        <w:t xml:space="preserve">年</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日。工期总日历天数：</w:t>
      </w:r>
      <w:r>
        <w:rPr>
          <w:rFonts w:hint="eastAsia" w:ascii="宋体" w:hAnsi="宋体" w:cs="宋体"/>
          <w:b/>
          <w:color w:val="000000"/>
          <w:sz w:val="24"/>
          <w:highlight w:val="none"/>
          <w:u w:val="single"/>
        </w:rPr>
        <w:t xml:space="preserve">     日历</w:t>
      </w:r>
      <w:r>
        <w:rPr>
          <w:rFonts w:hint="eastAsia" w:ascii="宋体" w:hAnsi="宋体" w:cs="宋体"/>
          <w:color w:val="000000"/>
          <w:sz w:val="24"/>
          <w:highlight w:val="none"/>
        </w:rPr>
        <w:t xml:space="preserve">天。工期总日历天数与根据前述计划开竣工日期计算的工期天数不一致的，以工期总日历天数为准。</w:t>
      </w:r>
      <w:r/>
    </w:p>
    <w:p>
      <w:pPr>
        <w:contextualSpacing/>
        <w:jc w:val="left"/>
        <w:spacing w:line="460" w:lineRule="exact"/>
        <w:rPr>
          <w:rFonts w:hint="eastAsia" w:ascii="宋体" w:hAnsi="宋体" w:cs="宋体"/>
          <w:color w:val="000000"/>
          <w:sz w:val="24"/>
          <w:highlight w:val="none"/>
        </w:rPr>
      </w:pPr>
      <w:r/>
      <w:bookmarkStart w:id="68" w:name="_Toc351203483"/>
      <w:r>
        <w:rPr>
          <w:rFonts w:hint="eastAsia" w:ascii="宋体" w:hAnsi="宋体" w:cs="宋体"/>
          <w:color w:val="000000"/>
          <w:sz w:val="24"/>
          <w:highlight w:val="none"/>
        </w:rPr>
        <w:t xml:space="preserve">三、质量标准</w:t>
      </w:r>
      <w:bookmarkEnd w:id="68"/>
      <w:r/>
      <w:r/>
    </w:p>
    <w:p>
      <w:pPr>
        <w:contextualSpacing/>
        <w:ind w:firstLine="459"/>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工程质量符合</w:t>
      </w:r>
      <w:r>
        <w:rPr>
          <w:rFonts w:hint="eastAsia" w:ascii="宋体" w:hAnsi="宋体" w:cs="宋体"/>
          <w:b/>
          <w:bCs/>
          <w:color w:val="000000"/>
          <w:sz w:val="24"/>
          <w:highlight w:val="none"/>
          <w:u w:val="single"/>
        </w:rPr>
        <w:t xml:space="preserve">合格</w:t>
      </w:r>
      <w:r>
        <w:rPr>
          <w:rFonts w:hint="eastAsia" w:ascii="宋体" w:hAnsi="宋体" w:cs="宋体"/>
          <w:color w:val="000000"/>
          <w:sz w:val="24"/>
          <w:highlight w:val="none"/>
        </w:rPr>
        <w:t xml:space="preserve">标准。</w:t>
      </w:r>
      <w:r/>
    </w:p>
    <w:p>
      <w:pPr>
        <w:contextualSpacing/>
        <w:jc w:val="left"/>
        <w:spacing w:line="460" w:lineRule="exact"/>
        <w:rPr>
          <w:rFonts w:hint="eastAsia" w:ascii="宋体" w:hAnsi="宋体" w:cs="宋体"/>
          <w:color w:val="000000"/>
          <w:sz w:val="24"/>
          <w:highlight w:val="none"/>
        </w:rPr>
      </w:pPr>
      <w:r/>
      <w:bookmarkStart w:id="69" w:name="_Toc351203484"/>
      <w:r>
        <w:rPr>
          <w:rFonts w:hint="eastAsia" w:ascii="宋体" w:hAnsi="宋体" w:cs="宋体"/>
          <w:color w:val="000000"/>
          <w:sz w:val="24"/>
          <w:highlight w:val="none"/>
        </w:rPr>
        <w:t xml:space="preserve">四、签约合同价与合同价格形式</w:t>
      </w:r>
      <w:bookmarkEnd w:id="69"/>
      <w:r>
        <w:rPr>
          <w:rFonts w:hint="eastAsia" w:ascii="宋体" w:hAnsi="宋体" w:cs="宋体"/>
          <w:color w:val="000000"/>
          <w:sz w:val="24"/>
          <w:highlight w:val="none"/>
        </w:rPr>
        <w:tab/>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1.签约合同价为：</w:t>
      </w:r>
      <w:r/>
    </w:p>
    <w:p>
      <w:pPr>
        <w:ind w:firstLine="60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（1）安全文明施工费：</w:t>
      </w:r>
      <w:r/>
    </w:p>
    <w:p>
      <w:pPr>
        <w:ind w:firstLine="10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（2）材料和工程设备暂估价金额：</w:t>
      </w:r>
      <w:r/>
    </w:p>
    <w:p>
      <w:pPr>
        <w:ind w:firstLine="10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（3）专业工程暂估价金额：</w:t>
      </w:r>
      <w:r/>
    </w:p>
    <w:p>
      <w:pPr>
        <w:ind w:firstLine="10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（4）暂列金额：</w:t>
      </w:r>
      <w:r/>
    </w:p>
    <w:p>
      <w:pPr>
        <w:ind w:firstLine="960"/>
        <w:keepLines/>
        <w:keepNext/>
        <w:spacing w:line="460" w:lineRule="exact"/>
        <w:rPr>
          <w:rFonts w:hint="eastAsia" w:ascii="宋体" w:hAnsi="宋体" w:cs="宋体"/>
          <w:b/>
          <w:color w:val="000000"/>
          <w:sz w:val="24"/>
          <w:highlight w:val="none"/>
        </w:rPr>
        <w:outlineLvl w:val="3"/>
      </w:pPr>
      <w:r>
        <w:rPr>
          <w:rFonts w:hint="eastAsia" w:ascii="宋体" w:hAnsi="宋体" w:cs="宋体"/>
          <w:color w:val="000000"/>
          <w:sz w:val="24"/>
          <w:highlight w:val="none"/>
        </w:rPr>
        <w:t xml:space="preserve">人民币（大写）</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2.合同价格形式：</w:t>
      </w:r>
      <w:r>
        <w:rPr>
          <w:rFonts w:hint="eastAsia" w:ascii="宋体" w:hAnsi="宋体" w:cs="宋体"/>
          <w:b/>
          <w:color w:val="000000"/>
          <w:sz w:val="24"/>
          <w:highlight w:val="none"/>
          <w:u w:val="single"/>
        </w:rPr>
        <w:t xml:space="preserve">固定单价合同</w:t>
      </w:r>
      <w:r>
        <w:rPr>
          <w:rFonts w:hint="eastAsia" w:ascii="宋体" w:hAnsi="宋体" w:cs="宋体"/>
          <w:color w:val="000000"/>
          <w:sz w:val="24"/>
          <w:highlight w:val="none"/>
        </w:rPr>
        <w:t xml:space="preserve">。</w:t>
      </w:r>
      <w:r/>
    </w:p>
    <w:p>
      <w:p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五、项目经理</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承包人项目经理：</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p>
    <w:p>
      <w:p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六、合同文件构成</w:t>
      </w:r>
      <w:r/>
    </w:p>
    <w:p>
      <w:pPr>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本协议书与下列文件一起构成合同文件：</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（1）成交通知书；</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（2）投标函及其附录； </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（3）专用合同条款及其附件；</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（4）通用合同条款；</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（5）技术标准和要求；</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（6）图纸；</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（7）已标价工程量清单或预算书；</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（8）其他合同文件。</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在合同订立及履行过程中形成的与合同有关的文件均构成合同文件组成部分。</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七、承诺</w:t>
      </w:r>
      <w:r/>
    </w:p>
    <w:p>
      <w:pPr>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1.发包人承诺按照法律规定履行项目审批手续、筹集工程建设资金并按照合同约定的期限和方式支付合同价款。</w:t>
      </w:r>
      <w:r/>
    </w:p>
    <w:p>
      <w:pPr>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2.承包人承诺按照法律规定及合同约定组织完成工程施工，确保工程质量和安全，不进行违法分包，并在缺陷责任期及保修期内承担相应的工程维修责任。</w:t>
      </w:r>
      <w:r/>
    </w:p>
    <w:p>
      <w:pPr>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3.发包人和承包人通过招投标形式签订合同的，双方理解并承诺不再就同一工程另行签订与合同实质性内容相背离的协议。</w:t>
      </w:r>
      <w:r/>
    </w:p>
    <w:p>
      <w:pPr>
        <w:ind w:firstLine="482"/>
        <w:spacing w:line="460" w:lineRule="exact"/>
        <w:rPr>
          <w:rFonts w:hint="eastAsia" w:ascii="宋体" w:hAnsi="宋体" w:cs="宋体"/>
          <w:bCs/>
          <w:color w:val="000000"/>
          <w:sz w:val="24"/>
          <w:highlight w:val="none"/>
        </w:rPr>
      </w:pPr>
      <w:r>
        <w:rPr>
          <w:rFonts w:hint="eastAsia" w:ascii="宋体" w:hAnsi="宋体" w:cs="宋体"/>
          <w:b/>
          <w:color w:val="000000"/>
          <w:sz w:val="24"/>
          <w:highlight w:val="none"/>
        </w:rPr>
        <w:t xml:space="preserve">八、词语含义</w:t>
      </w:r>
      <w:r/>
    </w:p>
    <w:p>
      <w:pPr>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本协议书中词语含义与第二部分通用合同条款中赋予的含义相同。</w:t>
      </w:r>
      <w:r/>
    </w:p>
    <w:p>
      <w:p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九、签订时间</w:t>
      </w:r>
      <w:r/>
    </w:p>
    <w:p>
      <w:pPr>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本合同于</w:t>
      </w:r>
      <w:r>
        <w:rPr>
          <w:rFonts w:hint="eastAsia" w:ascii="宋体" w:hAnsi="宋体" w:cs="宋体"/>
          <w:b/>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
          <w:color w:val="000000"/>
          <w:sz w:val="24"/>
          <w:highlight w:val="none"/>
          <w:u w:val="single"/>
        </w:rPr>
        <w:t xml:space="preserve">      </w:t>
      </w:r>
      <w:r>
        <w:rPr>
          <w:rFonts w:hint="eastAsia" w:ascii="宋体" w:hAnsi="宋体" w:cs="宋体"/>
          <w:bCs/>
          <w:color w:val="000000"/>
          <w:sz w:val="24"/>
          <w:highlight w:val="none"/>
        </w:rPr>
        <w:t xml:space="preserve">日签订。</w:t>
      </w:r>
      <w:r/>
    </w:p>
    <w:p>
      <w:p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十、签订地点</w:t>
      </w:r>
      <w:r/>
    </w:p>
    <w:p>
      <w:pPr>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本合同在签订。</w:t>
      </w:r>
      <w:r/>
    </w:p>
    <w:p>
      <w:p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十一、补充协议</w:t>
      </w:r>
      <w:r/>
    </w:p>
    <w:p>
      <w:pPr>
        <w:ind w:firstLine="480"/>
        <w:spacing w:line="460" w:lineRule="exact"/>
        <w:rPr>
          <w:rFonts w:hint="eastAsia" w:ascii="宋体" w:hAnsi="宋体" w:cs="宋体"/>
          <w:b/>
          <w:bCs/>
          <w:color w:val="000000"/>
          <w:sz w:val="24"/>
          <w:highlight w:val="none"/>
        </w:rPr>
      </w:pPr>
      <w:r>
        <w:rPr>
          <w:rFonts w:hint="eastAsia" w:ascii="宋体" w:hAnsi="宋体" w:cs="宋体"/>
          <w:bCs/>
          <w:color w:val="000000"/>
          <w:sz w:val="24"/>
          <w:highlight w:val="none"/>
        </w:rPr>
        <w:t xml:space="preserve">合同未尽事宜，合同当事人另行签订补充协议，补充协议是合同的组成部分。</w:t>
      </w:r>
      <w:r/>
    </w:p>
    <w:p>
      <w:p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十二、合同生效</w:t>
      </w:r>
      <w:r/>
    </w:p>
    <w:p>
      <w:pPr>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本合同自</w:t>
      </w:r>
      <w:r>
        <w:rPr>
          <w:rFonts w:hint="eastAsia" w:ascii="宋体" w:hAnsi="宋体" w:cs="宋体"/>
          <w:b/>
          <w:bCs/>
          <w:color w:val="000000"/>
          <w:sz w:val="24"/>
          <w:highlight w:val="none"/>
          <w:u w:val="single"/>
        </w:rPr>
        <w:t xml:space="preserve"> 乙方交纳履约保证金，且双方签字盖章后</w:t>
      </w:r>
      <w:r>
        <w:rPr>
          <w:rFonts w:hint="eastAsia" w:ascii="宋体" w:hAnsi="宋体" w:cs="宋体"/>
          <w:bCs/>
          <w:color w:val="000000"/>
          <w:sz w:val="24"/>
          <w:highlight w:val="none"/>
        </w:rPr>
        <w:t xml:space="preserve">生效。</w:t>
      </w:r>
      <w:r/>
    </w:p>
    <w:p>
      <w:p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十三、合同份数</w:t>
      </w:r>
      <w:r/>
    </w:p>
    <w:p>
      <w:pPr>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本合同壹式</w:t>
      </w:r>
      <w:r>
        <w:rPr>
          <w:rFonts w:hint="eastAsia" w:ascii="宋体" w:hAnsi="宋体" w:cs="宋体"/>
          <w:bCs/>
          <w:color w:val="000000"/>
          <w:sz w:val="24"/>
          <w:highlight w:val="none"/>
          <w:u w:val="single"/>
        </w:rPr>
        <w:t xml:space="preserve"> 陆 </w:t>
      </w:r>
      <w:r>
        <w:rPr>
          <w:rFonts w:hint="eastAsia" w:ascii="宋体" w:hAnsi="宋体" w:cs="宋体"/>
          <w:bCs/>
          <w:color w:val="000000"/>
          <w:sz w:val="24"/>
          <w:highlight w:val="none"/>
        </w:rPr>
        <w:t xml:space="preserve">份，均具有同等法律效力，发包人执</w:t>
      </w:r>
      <w:r>
        <w:rPr>
          <w:rFonts w:hint="eastAsia" w:ascii="宋体" w:hAnsi="宋体" w:cs="宋体"/>
          <w:bCs/>
          <w:color w:val="000000"/>
          <w:sz w:val="24"/>
          <w:highlight w:val="none"/>
          <w:u w:val="single"/>
        </w:rPr>
        <w:t xml:space="preserve"> 叁 </w:t>
      </w:r>
      <w:r>
        <w:rPr>
          <w:rFonts w:hint="eastAsia" w:ascii="宋体" w:hAnsi="宋体" w:cs="宋体"/>
          <w:bCs/>
          <w:color w:val="000000"/>
          <w:sz w:val="24"/>
          <w:highlight w:val="none"/>
        </w:rPr>
        <w:t xml:space="preserve">份，承包人执</w:t>
      </w:r>
      <w:r>
        <w:rPr>
          <w:rFonts w:hint="eastAsia" w:ascii="宋体" w:hAnsi="宋体" w:cs="宋体"/>
          <w:bCs/>
          <w:color w:val="000000"/>
          <w:sz w:val="24"/>
          <w:highlight w:val="none"/>
          <w:u w:val="single"/>
        </w:rPr>
        <w:t xml:space="preserve"> 叁 </w:t>
      </w:r>
      <w:r>
        <w:rPr>
          <w:rFonts w:hint="eastAsia" w:ascii="宋体" w:hAnsi="宋体" w:cs="宋体"/>
          <w:bCs/>
          <w:color w:val="000000"/>
          <w:sz w:val="24"/>
          <w:highlight w:val="none"/>
        </w:rPr>
        <w:t xml:space="preserve">份。</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88"/>
        <w:rPr>
          <w:rFonts w:hint="eastAsia" w:ascii="宋体" w:hAnsi="宋体" w:cs="宋体"/>
          <w:color w:val="000000"/>
          <w:sz w:val="24"/>
          <w:highlight w:val="none"/>
        </w:rPr>
      </w:pPr>
      <w:r>
        <w:rPr>
          <w:rFonts w:hint="eastAsia" w:ascii="宋体" w:hAnsi="宋体" w:cs="宋体"/>
          <w:color w:val="000000"/>
          <w:sz w:val="24"/>
          <w:highlight w:val="none"/>
        </w:rPr>
      </w:r>
      <w:r/>
    </w:p>
    <w:p>
      <w:pPr>
        <w:pStyle w:val="688"/>
        <w:rPr>
          <w:rFonts w:hint="eastAsia" w:ascii="宋体" w:hAnsi="宋体" w:cs="宋体"/>
          <w:color w:val="000000"/>
          <w:sz w:val="24"/>
          <w:highlight w:val="none"/>
        </w:rPr>
      </w:pPr>
      <w:r>
        <w:rPr>
          <w:rFonts w:hint="eastAsia" w:ascii="宋体" w:hAnsi="宋体" w:cs="宋体"/>
          <w:color w:val="000000"/>
          <w:sz w:val="24"/>
          <w:highlight w:val="none"/>
        </w:rPr>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发包人：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(公章)     承包人：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(公章)</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法定代表人或其委托代理人：        法定代表人或其委托代理人：</w:t>
      </w:r>
      <w:r/>
    </w:p>
    <w:p>
      <w:pPr>
        <w:ind w:firstLine="960"/>
        <w:spacing w:line="46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w:t>
      </w:r>
      <w:r/>
    </w:p>
    <w:p>
      <w:pPr>
        <w:spacing w:line="460" w:lineRule="exact"/>
        <w:tabs>
          <w:tab w:val="left" w:pos="441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组织机构代码：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组织机构代码：</w:t>
      </w:r>
      <w:r>
        <w:rPr>
          <w:rFonts w:hint="eastAsia" w:ascii="宋体" w:hAnsi="宋体" w:cs="宋体"/>
          <w:color w:val="000000"/>
          <w:sz w:val="24"/>
          <w:highlight w:val="none"/>
          <w:u w:val="single"/>
        </w:rPr>
        <w:t xml:space="preserve">                 </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地  址：</w:t>
      </w:r>
      <w:r>
        <w:rPr>
          <w:rFonts w:hint="eastAsia" w:ascii="宋体" w:hAnsi="宋体" w:cs="宋体"/>
          <w:color w:val="000000"/>
          <w:sz w:val="24"/>
          <w:highlight w:val="none"/>
          <w:u w:val="single"/>
        </w:rPr>
        <w:t xml:space="preserve">                 </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邮政编码：</w:t>
      </w:r>
      <w:r>
        <w:rPr>
          <w:rFonts w:hint="eastAsia" w:ascii="宋体" w:hAnsi="宋体" w:cs="宋体"/>
          <w:color w:val="000000"/>
          <w:sz w:val="24"/>
          <w:highlight w:val="none"/>
          <w:u w:val="single"/>
        </w:rPr>
        <w:t xml:space="preserve">                 </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法定代表人：</w:t>
      </w:r>
      <w:r>
        <w:rPr>
          <w:rFonts w:hint="eastAsia" w:ascii="宋体" w:hAnsi="宋体" w:cs="宋体"/>
          <w:color w:val="000000"/>
          <w:sz w:val="24"/>
          <w:highlight w:val="none"/>
          <w:u w:val="single"/>
        </w:rPr>
        <w:t xml:space="preserve">                 </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委托代理人：</w:t>
      </w:r>
      <w:r>
        <w:rPr>
          <w:rFonts w:hint="eastAsia" w:ascii="宋体" w:hAnsi="宋体" w:cs="宋体"/>
          <w:color w:val="000000"/>
          <w:sz w:val="24"/>
          <w:highlight w:val="none"/>
          <w:u w:val="single"/>
        </w:rPr>
        <w:t xml:space="preserve">                 </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话：</w:t>
      </w:r>
      <w:r>
        <w:rPr>
          <w:rFonts w:hint="eastAsia" w:ascii="宋体" w:hAnsi="宋体" w:cs="宋体"/>
          <w:color w:val="000000"/>
          <w:sz w:val="24"/>
          <w:highlight w:val="none"/>
          <w:u w:val="single"/>
        </w:rPr>
        <w:t xml:space="preserve">                 </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  真：</w:t>
      </w:r>
      <w:r>
        <w:rPr>
          <w:rFonts w:hint="eastAsia" w:ascii="宋体" w:hAnsi="宋体" w:cs="宋体"/>
          <w:color w:val="000000"/>
          <w:sz w:val="24"/>
          <w:highlight w:val="none"/>
          <w:u w:val="single"/>
        </w:rPr>
        <w:t xml:space="preserve">                 </w:t>
      </w:r>
      <w:r/>
    </w:p>
    <w:p>
      <w:pP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电子信箱：</w:t>
      </w:r>
      <w:r>
        <w:rPr>
          <w:rFonts w:hint="eastAsia" w:ascii="宋体" w:hAnsi="宋体" w:cs="宋体"/>
          <w:color w:val="000000"/>
          <w:sz w:val="24"/>
          <w:highlight w:val="none"/>
          <w:u w:val="single"/>
        </w:rPr>
        <w:t xml:space="preserve">                 </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开户银行：</w:t>
      </w:r>
      <w:r>
        <w:rPr>
          <w:rFonts w:hint="eastAsia" w:ascii="宋体" w:hAnsi="宋体" w:cs="宋体"/>
          <w:color w:val="000000"/>
          <w:sz w:val="24"/>
          <w:highlight w:val="none"/>
          <w:u w:val="single"/>
        </w:rPr>
        <w:t xml:space="preserve">                 </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账  号：</w:t>
      </w:r>
      <w:r>
        <w:rPr>
          <w:rFonts w:hint="eastAsia" w:ascii="宋体" w:hAnsi="宋体" w:cs="宋体"/>
          <w:color w:val="000000"/>
          <w:sz w:val="24"/>
          <w:highlight w:val="none"/>
          <w:u w:val="single"/>
        </w:rPr>
        <w:t xml:space="preserve">                 </w:t>
      </w:r>
      <w:r/>
    </w:p>
    <w:p>
      <w:pPr>
        <w:contextualSpacing/>
        <w:spacing w:line="5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contextualSpacing/>
        <w:jc w:val="center"/>
        <w:spacing w:line="5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32"/>
          <w:szCs w:val="32"/>
          <w:highlight w:val="none"/>
        </w:rPr>
        <w:t xml:space="preserve">第二部分　通用条款(略)</w:t>
      </w:r>
      <w:r/>
    </w:p>
    <w:p>
      <w:pPr>
        <w:contextualSpacing/>
        <w:jc w:val="center"/>
        <w:spacing w:line="500" w:lineRule="exact"/>
        <w:rPr>
          <w:rFonts w:hint="eastAsia" w:ascii="宋体" w:hAnsi="宋体" w:cs="宋体"/>
          <w:b/>
          <w:bCs/>
          <w:color w:val="000000"/>
          <w:sz w:val="28"/>
          <w:szCs w:val="28"/>
          <w:highlight w:val="none"/>
        </w:rPr>
      </w:pPr>
      <w:r>
        <w:rPr>
          <w:rFonts w:hint="eastAsia" w:ascii="宋体" w:hAnsi="宋体"/>
          <w:color w:val="000000"/>
          <w:sz w:val="24"/>
          <w:highlight w:val="none"/>
        </w:rPr>
        <w:t xml:space="preserve">此部分采用《建设工程施工合同》范本（</w:t>
      </w:r>
      <w:r>
        <w:rPr>
          <w:rFonts w:ascii="宋体" w:hAnsi="宋体"/>
          <w:color w:val="000000"/>
          <w:sz w:val="24"/>
          <w:highlight w:val="none"/>
        </w:rPr>
        <w:t xml:space="preserve">GF-201</w:t>
      </w:r>
      <w:r>
        <w:rPr>
          <w:rFonts w:hint="eastAsia" w:ascii="宋体" w:hAnsi="宋体"/>
          <w:color w:val="000000"/>
          <w:sz w:val="24"/>
          <w:highlight w:val="none"/>
        </w:rPr>
        <w:t xml:space="preserve">7</w:t>
      </w:r>
      <w:r>
        <w:rPr>
          <w:rFonts w:ascii="宋体" w:hAnsi="宋体"/>
          <w:color w:val="000000"/>
          <w:sz w:val="24"/>
          <w:highlight w:val="none"/>
        </w:rPr>
        <w:t xml:space="preserve">-0201</w:t>
      </w:r>
      <w:r>
        <w:rPr>
          <w:rFonts w:hint="eastAsia" w:ascii="宋体" w:hAnsi="宋体"/>
          <w:color w:val="000000"/>
          <w:sz w:val="24"/>
          <w:highlight w:val="none"/>
        </w:rPr>
        <w:t xml:space="preserve">）中《第二部分通用条款》</w:t>
      </w:r>
      <w:r/>
    </w:p>
    <w:p>
      <w:pPr>
        <w:contextualSpacing/>
        <w:jc w:val="center"/>
        <w:spacing w:line="5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contextualSpacing/>
        <w:jc w:val="center"/>
        <w:spacing w:line="5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contextualSpacing/>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第三部分 专用合同条款</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 一般约定</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 词语定义</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1.1.1合同</w:t>
      </w:r>
      <w:r/>
    </w:p>
    <w:p>
      <w:pPr>
        <w:ind w:firstLine="480"/>
        <w:keepLines w:val="0"/>
        <w:keepNext w:val="0"/>
        <w:pageBreakBefore w:val="0"/>
        <w:spacing w:line="360" w:lineRule="auto"/>
        <w:widowControl w:val="off"/>
        <w:rPr>
          <w:rFonts w:hint="eastAsia" w:ascii="宋体" w:hAnsi="宋体" w:cs="宋体"/>
          <w:b/>
          <w:bCs/>
          <w:color w:val="000000"/>
          <w:sz w:val="24"/>
          <w:highlight w:val="none"/>
          <w:u w:val="single"/>
        </w:rPr>
      </w:pPr>
      <w:r>
        <w:rPr>
          <w:rFonts w:hint="eastAsia" w:ascii="宋体" w:hAnsi="宋体" w:cs="宋体"/>
          <w:bCs/>
          <w:sz w:val="24"/>
          <w:highlight w:val="none"/>
        </w:rPr>
        <w:t xml:space="preserve">1.1.1.10其他合同文件包括：</w:t>
      </w:r>
      <w:r>
        <w:rPr>
          <w:rFonts w:hint="eastAsia" w:ascii="宋体" w:hAnsi="宋体" w:cs="宋体"/>
          <w:b/>
          <w:bCs/>
          <w:color w:val="000000"/>
          <w:sz w:val="24"/>
          <w:highlight w:val="none"/>
          <w:u w:val="single"/>
        </w:rPr>
        <w:t xml:space="preserve">（1）发包人与承包人协商备忘、合同补充文件；（2）招标文件及其附件（含答疑）；（3）发包人认可的设计变更；（4）经发包人确认有效的工程签证单（发包人签字盖章后方可生效）；（5）承诺书。</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1.1.2 合同当事人及其他相关方</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1.1.2.4监理人：</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名    称：</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资质类别和等级：</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联系电话：</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电子信箱：</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通信地址：</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1.1.2.5 设计人：</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名    称：</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资质类别和等级：</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联系电话：</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电子信箱：</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通信地址：</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1.1.3 工程和设备</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1.1.3.7 作为施工现场组成部分的其他场所包括：</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1.1.3.9 永久占地包括：</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1.1.3.10 临时占地包括：</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1.3法律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适用于合同的其他规范性文件：</w:t>
      </w:r>
      <w:r>
        <w:rPr>
          <w:rFonts w:hint="eastAsia" w:ascii="宋体" w:hAnsi="宋体" w:cs="宋体"/>
          <w:b/>
          <w:bCs/>
          <w:color w:val="000000"/>
          <w:sz w:val="24"/>
          <w:highlight w:val="none"/>
          <w:u w:val="single"/>
          <w:lang w:eastAsia="zh-TW"/>
        </w:rPr>
        <w:t xml:space="preserve">江苏省以及南通市现行的法规、制度、办法等文件</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 标准和规范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1.4.1适用于工程的标准规范包括：</w:t>
      </w:r>
      <w:r>
        <w:rPr>
          <w:rFonts w:hint="eastAsia" w:ascii="宋体" w:hAnsi="宋体" w:cs="宋体"/>
          <w:b/>
          <w:bCs/>
          <w:color w:val="000000"/>
          <w:sz w:val="24"/>
          <w:highlight w:val="none"/>
          <w:u w:val="single"/>
        </w:rPr>
        <w:t xml:space="preserve">中华人民共和国建设部颁发的有关标</w:t>
      </w:r>
      <w:r>
        <w:rPr>
          <w:rFonts w:hint="eastAsia" w:ascii="宋体" w:hAnsi="宋体" w:cs="宋体"/>
          <w:b/>
          <w:bCs/>
          <w:color w:val="000000"/>
          <w:sz w:val="24"/>
          <w:highlight w:val="none"/>
          <w:u w:val="single"/>
          <w:lang w:eastAsia="zh-TW"/>
        </w:rPr>
        <w:t xml:space="preserve">准、规范及省、市有关规定</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1.4.2发包人对工程的技术标准和功能要求的特殊要求：</w:t>
      </w:r>
      <w:r>
        <w:rPr>
          <w:rFonts w:hint="eastAsia" w:ascii="宋体" w:hAnsi="宋体" w:cs="宋体"/>
          <w:b/>
          <w:color w:val="000000"/>
          <w:sz w:val="24"/>
          <w:highlight w:val="none"/>
          <w:u w:val="single"/>
        </w:rPr>
        <w:t xml:space="preserve">按设计要求执行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 合同文件的优先顺序</w:t>
      </w:r>
      <w:r/>
    </w:p>
    <w:p>
      <w:pPr>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合同文件组成及优先顺序为：</w:t>
      </w:r>
      <w:r>
        <w:rPr>
          <w:rFonts w:hint="eastAsia" w:ascii="宋体" w:hAnsi="宋体" w:cs="宋体"/>
          <w:b/>
          <w:color w:val="000000"/>
          <w:spacing w:val="-2"/>
          <w:sz w:val="24"/>
          <w:highlight w:val="none"/>
          <w:u w:val="single"/>
        </w:rPr>
        <w:t xml:space="preserve">（1）合同协议书及承诺书；（2）成交通知书；（3）投标函及其附录；（4）专用合同条款及其附件；（5）通用合同条款；（6）技术标准和要求；（7）图纸；（8）已标价工程量清单或预算书；（9）响应文件；（10）其他合同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 图纸和承包人文件</w:t>
      </w:r>
      <w:r>
        <w:rPr>
          <w:rFonts w:hint="eastAsia" w:ascii="宋体" w:hAnsi="宋体" w:cs="宋体"/>
          <w:color w:val="000000"/>
          <w:sz w:val="24"/>
          <w:highlight w:val="none"/>
        </w:rPr>
        <w:tab/>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 图纸的提供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发包人向承包人提供图纸的期限： </w:t>
      </w:r>
      <w:r>
        <w:rPr>
          <w:rFonts w:hint="eastAsia" w:ascii="宋体" w:hAnsi="宋体" w:cs="宋体"/>
          <w:b/>
          <w:bCs/>
          <w:color w:val="000000"/>
          <w:sz w:val="24"/>
          <w:highlight w:val="none"/>
          <w:u w:val="single"/>
        </w:rPr>
        <w:t xml:space="preserve">发包人工程开工前向承包人提供</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发包人向承包人提供图纸的数量：</w:t>
      </w:r>
      <w:r>
        <w:rPr>
          <w:rFonts w:hint="eastAsia" w:ascii="宋体" w:hAnsi="宋体" w:cs="宋体"/>
          <w:b/>
          <w:bCs/>
          <w:color w:val="000000"/>
          <w:sz w:val="24"/>
          <w:highlight w:val="none"/>
          <w:u w:val="single"/>
        </w:rPr>
        <w:t xml:space="preserve">4套</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发包人向承包人提供图纸的内容：</w:t>
      </w:r>
      <w:r>
        <w:rPr>
          <w:rFonts w:hint="eastAsia" w:ascii="宋体" w:hAnsi="宋体" w:cs="宋体"/>
          <w:b/>
          <w:color w:val="000000"/>
          <w:sz w:val="24"/>
          <w:highlight w:val="none"/>
          <w:u w:val="single"/>
        </w:rPr>
        <w:t xml:space="preserve">本合同发包内容中的全部图纸</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1.6.4 承包人文件</w:t>
      </w:r>
      <w:r/>
    </w:p>
    <w:p>
      <w:pPr>
        <w:ind w:firstLine="480"/>
        <w:spacing w:line="360" w:lineRule="auto"/>
        <w:rPr>
          <w:rFonts w:ascii="宋体" w:hAnsi="宋体" w:cs="宋体"/>
          <w:b/>
          <w:color w:val="000000"/>
          <w:sz w:val="24"/>
          <w:highlight w:val="none"/>
          <w:u w:val="single"/>
        </w:rPr>
      </w:pPr>
      <w:r>
        <w:rPr>
          <w:rFonts w:hint="eastAsia" w:ascii="宋体" w:hAnsi="宋体" w:cs="宋体"/>
          <w:color w:val="000000"/>
          <w:sz w:val="24"/>
          <w:highlight w:val="none"/>
        </w:rPr>
        <w:t xml:space="preserve">需要由承包人提供的文件，包括</w:t>
      </w:r>
      <w:r>
        <w:rPr>
          <w:rFonts w:hint="eastAsia" w:ascii="宋体" w:hAnsi="宋体" w:cs="宋体"/>
          <w:b/>
          <w:color w:val="000000"/>
          <w:sz w:val="24"/>
          <w:highlight w:val="none"/>
          <w:u w:val="single"/>
        </w:rPr>
        <w:t xml:space="preserve">承包人在开工前必须提交详细的施工组织设计，报发包人及总监审批，施工组织设计经发包人及监理认可后方可开工。施工组织设计将作为工程款支付的参考依据之一。每周四向监理和发包人提供下一周详细的施工进度计划及本周施工进度报表；总进度计划在开工后3天提供。具体计划及时间要求根据工程需要补充明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承包人提供的文件的数量为：</w:t>
      </w:r>
      <w:r>
        <w:rPr>
          <w:rFonts w:hint="eastAsia" w:ascii="宋体" w:hAnsi="宋体" w:cs="宋体"/>
          <w:b/>
          <w:color w:val="000000"/>
          <w:sz w:val="24"/>
          <w:highlight w:val="none"/>
          <w:u w:val="single"/>
        </w:rPr>
        <w:t xml:space="preserve">按发包人要求</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承包人提供的文件的形式为：</w:t>
      </w:r>
      <w:r>
        <w:rPr>
          <w:rFonts w:hint="eastAsia" w:ascii="宋体" w:hAnsi="宋体" w:cs="宋体"/>
          <w:b/>
          <w:color w:val="000000"/>
          <w:sz w:val="24"/>
          <w:highlight w:val="none"/>
          <w:u w:val="single"/>
        </w:rPr>
        <w:t xml:space="preserve">书面形式</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发包人审批承包人文件的期限：</w:t>
      </w:r>
      <w:r>
        <w:rPr>
          <w:rFonts w:hint="eastAsia" w:ascii="宋体" w:hAnsi="宋体" w:cs="宋体"/>
          <w:b/>
          <w:color w:val="000000"/>
          <w:sz w:val="24"/>
          <w:highlight w:val="none"/>
          <w:u w:val="single"/>
        </w:rPr>
        <w:t xml:space="preserve">收到文件后7天内</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1.6.5 现场图纸准备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关于现场图纸准备的约定：</w:t>
      </w:r>
      <w:r>
        <w:rPr>
          <w:rFonts w:hint="eastAsia" w:ascii="宋体" w:hAnsi="宋体" w:cs="宋体"/>
          <w:b/>
          <w:color w:val="000000"/>
          <w:sz w:val="24"/>
          <w:highlight w:val="none"/>
          <w:u w:val="single"/>
        </w:rPr>
        <w:t xml:space="preserve">施工现场保留一套完整图纸供发包人、监理人及有关人员使用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 联络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1.7.1发包人和承包人应当在</w:t>
      </w:r>
      <w:r>
        <w:rPr>
          <w:rFonts w:hint="eastAsia" w:ascii="宋体" w:hAnsi="宋体" w:cs="宋体"/>
          <w:b/>
          <w:color w:val="000000"/>
          <w:sz w:val="24"/>
          <w:highlight w:val="none"/>
          <w:u w:val="single"/>
        </w:rPr>
        <w:t xml:space="preserve">3</w:t>
      </w:r>
      <w:r>
        <w:rPr>
          <w:rFonts w:hint="eastAsia" w:ascii="宋体" w:hAnsi="宋体" w:cs="宋体"/>
          <w:color w:val="000000"/>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1.7.2 发包人接收文件的地点：</w:t>
      </w:r>
      <w:r>
        <w:rPr>
          <w:rFonts w:hint="eastAsia" w:ascii="宋体" w:hAnsi="宋体" w:cs="宋体"/>
          <w:color w:val="000000"/>
          <w:sz w:val="24"/>
          <w:highlight w:val="none"/>
          <w:u w:val="single"/>
        </w:rPr>
        <w:t xml:space="preserve">工地现场</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发包人指定的接收人为：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承包人接收文件的地点：</w:t>
      </w:r>
      <w:r>
        <w:rPr>
          <w:rFonts w:hint="eastAsia" w:ascii="宋体" w:hAnsi="宋体" w:cs="宋体"/>
          <w:color w:val="000000"/>
          <w:sz w:val="24"/>
          <w:highlight w:val="none"/>
          <w:u w:val="single"/>
        </w:rPr>
        <w:t xml:space="preserve">工地现场</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承包人指定的接收人为：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监理人接收文件的地点：</w:t>
      </w:r>
      <w:r>
        <w:rPr>
          <w:rFonts w:hint="eastAsia" w:ascii="宋体" w:hAnsi="宋体" w:cs="宋体"/>
          <w:color w:val="000000"/>
          <w:sz w:val="24"/>
          <w:highlight w:val="none"/>
          <w:u w:val="single"/>
        </w:rPr>
        <w:t xml:space="preserve">工地现场</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监理人指定的接收人为：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 交通运输</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1.10.3 场内交通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关于场外交通和场内交通的边界的约定：</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b/>
          <w:color w:val="000000"/>
          <w:sz w:val="24"/>
          <w:highlight w:val="none"/>
          <w:u w:val="single"/>
        </w:rPr>
      </w:pPr>
      <w:r>
        <w:rPr>
          <w:rFonts w:hint="eastAsia" w:ascii="宋体" w:hAnsi="宋体" w:cs="宋体"/>
          <w:color w:val="000000"/>
          <w:sz w:val="24"/>
          <w:highlight w:val="none"/>
        </w:rPr>
        <w:t xml:space="preserve">关于发包人向承包人免费提供满足工程施工需要的场内道路和交通设施的约定：</w:t>
      </w:r>
      <w:r>
        <w:rPr>
          <w:rFonts w:hint="eastAsia" w:ascii="宋体" w:hAnsi="宋体" w:cs="宋体"/>
          <w:b/>
          <w:color w:val="000000"/>
          <w:sz w:val="24"/>
          <w:highlight w:val="none"/>
          <w:u w:val="single"/>
        </w:rPr>
        <w:t xml:space="preserve">已具备施工条件。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1.10.4超大件和超重件的运输</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运输超大件或超重件所需的道路和桥梁临时加固改造费用和其他有关费用由</w:t>
      </w:r>
      <w:r>
        <w:rPr>
          <w:rFonts w:hint="eastAsia" w:ascii="宋体" w:hAnsi="宋体" w:cs="宋体"/>
          <w:b/>
          <w:color w:val="000000"/>
          <w:sz w:val="24"/>
          <w:highlight w:val="none"/>
          <w:u w:val="single"/>
        </w:rPr>
        <w:t xml:space="preserve">承包人</w:t>
      </w:r>
      <w:r>
        <w:rPr>
          <w:rFonts w:hint="eastAsia" w:ascii="宋体" w:hAnsi="宋体" w:cs="宋体"/>
          <w:color w:val="000000"/>
          <w:sz w:val="24"/>
          <w:highlight w:val="none"/>
        </w:rPr>
        <w:t xml:space="preserve">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 知识产权</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000000"/>
          <w:sz w:val="24"/>
          <w:highlight w:val="none"/>
          <w:u w:val="single"/>
        </w:rPr>
        <w:t xml:space="preserve">著作权属发包人。承包人未经发包人同意不得将本工程图纸转给第三人，不得进行复制，不得向承包人以外的人泄露有关图纸内容 </w:t>
      </w:r>
      <w:r>
        <w:rPr>
          <w:rFonts w:hint="eastAsia" w:ascii="宋体" w:hAnsi="宋体" w:cs="宋体"/>
          <w:b/>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关于发包人提供的上述文件的使用限制的要求：</w:t>
      </w:r>
      <w:r>
        <w:rPr>
          <w:rFonts w:hint="eastAsia" w:ascii="宋体" w:hAnsi="宋体" w:cs="宋体"/>
          <w:b/>
          <w:color w:val="000000"/>
          <w:sz w:val="24"/>
          <w:highlight w:val="none"/>
          <w:u w:val="single"/>
        </w:rPr>
        <w:t xml:space="preserve">按通用条款执行</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1.11.2 关于承包人为实施工程所编制文件的著作权的归属：</w:t>
      </w:r>
      <w:r>
        <w:rPr>
          <w:rFonts w:hint="eastAsia" w:ascii="宋体" w:hAnsi="宋体" w:cs="宋体"/>
          <w:b/>
          <w:color w:val="000000"/>
          <w:sz w:val="24"/>
          <w:highlight w:val="none"/>
          <w:u w:val="single"/>
        </w:rPr>
        <w:t xml:space="preserve">按通用条款执行</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关于承包人提供的上述文件的使用限制的要求：</w:t>
      </w:r>
      <w:r>
        <w:rPr>
          <w:rFonts w:hint="eastAsia" w:ascii="宋体" w:hAnsi="宋体" w:cs="宋体"/>
          <w:b/>
          <w:color w:val="000000"/>
          <w:sz w:val="24"/>
          <w:highlight w:val="none"/>
          <w:u w:val="single"/>
        </w:rPr>
        <w:t xml:space="preserve">按通用条款执行</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1.11.4 承包人在施工过程中所采用的专利、专有技术、技术秘密的使用费的承担方式：</w:t>
      </w:r>
      <w:r>
        <w:rPr>
          <w:rFonts w:hint="eastAsia" w:ascii="宋体" w:hAnsi="宋体" w:cs="宋体"/>
          <w:b/>
          <w:color w:val="000000"/>
          <w:sz w:val="24"/>
          <w:highlight w:val="none"/>
          <w:u w:val="single"/>
        </w:rPr>
        <w:t xml:space="preserve">已包含在本合同价内</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1.13工程量清单错误的修正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出现工程量清单错误时，是否调整合同价格：</w:t>
      </w:r>
      <w:r>
        <w:rPr>
          <w:rFonts w:hint="eastAsia" w:ascii="宋体" w:hAnsi="宋体" w:cs="宋体"/>
          <w:color w:val="000000"/>
          <w:sz w:val="24"/>
          <w:highlight w:val="none"/>
          <w:u w:val="single"/>
        </w:rPr>
        <w:t xml:space="preserve">是 </w:t>
      </w:r>
      <w:r>
        <w:rPr>
          <w:rFonts w:hint="eastAsia" w:ascii="宋体" w:hAnsi="宋体" w:cs="宋体"/>
          <w:color w:val="000000"/>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color w:val="000000"/>
          <w:sz w:val="24"/>
          <w:highlight w:val="none"/>
        </w:rPr>
        <w:t xml:space="preserve">允许调整合同价格的工程量偏差范围：</w:t>
      </w:r>
      <w:r>
        <w:rPr>
          <w:rFonts w:hint="eastAsia" w:ascii="宋体" w:hAnsi="宋体" w:cs="宋体"/>
          <w:color w:val="000000"/>
          <w:sz w:val="24"/>
          <w:highlight w:val="none"/>
          <w:u w:val="single"/>
        </w:rPr>
        <w:t xml:space="preserve">按本合同条款中第12.1款  </w:t>
      </w:r>
      <w:r>
        <w:rPr>
          <w:rFonts w:hint="eastAsia" w:ascii="宋体" w:hAnsi="宋体" w:cs="宋体"/>
          <w:color w:val="000000"/>
          <w:sz w:val="24"/>
          <w:highlight w:val="none"/>
        </w:rPr>
        <w:t xml:space="preserve">。</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 发包人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 发包人代表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    发包人对发包人代表的授权范围如下：</w:t>
      </w:r>
      <w:r>
        <w:rPr>
          <w:rFonts w:hint="eastAsia" w:ascii="宋体" w:hAnsi="宋体" w:cs="宋体"/>
          <w:b/>
          <w:bCs/>
          <w:color w:val="000000"/>
          <w:sz w:val="24"/>
          <w:highlight w:val="none"/>
          <w:u w:val="single"/>
        </w:rPr>
        <w:t xml:space="preserve">代表发包人行使本合同约定的发包人的权力和监理人需要取得发包人批准的权力 </w:t>
      </w:r>
      <w:r>
        <w:rPr>
          <w:rFonts w:hint="eastAsia" w:ascii="宋体" w:hAnsi="宋体" w:cs="宋体"/>
          <w:b/>
          <w:bCs/>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 施工现场、施工条件和基础资料的提供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2.4.1 提供施工现场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关于发包人移交施工现场的期限要求：</w:t>
      </w:r>
      <w:r>
        <w:rPr>
          <w:rFonts w:hint="eastAsia" w:ascii="宋体" w:hAnsi="宋体" w:cs="宋体"/>
          <w:b/>
          <w:color w:val="000000"/>
          <w:sz w:val="24"/>
          <w:highlight w:val="none"/>
          <w:u w:val="single"/>
        </w:rPr>
        <w:t xml:space="preserve">以施工现场的现状为准</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2.4.2 提供施工条件</w:t>
      </w:r>
      <w:r/>
    </w:p>
    <w:p>
      <w:pPr>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关于发包人应负责提供施工所需要的条件，包括：</w:t>
      </w:r>
      <w:r>
        <w:rPr>
          <w:rFonts w:hint="eastAsia" w:ascii="宋体" w:hAnsi="宋体" w:cs="宋体"/>
          <w:b/>
          <w:color w:val="000000"/>
          <w:sz w:val="24"/>
          <w:highlight w:val="none"/>
          <w:u w:val="single"/>
        </w:rPr>
        <w:t xml:space="preserve">发包人于开工前办理好施工所需证件、批件（承包人自身资质证件除外）。施工过程中承包人不得因发包人前期手续而出现不进行施工准备、索赔、消极施工等情形，应积极配合，保证工程按计划进行，否则按违约处理 </w:t>
      </w:r>
      <w:r>
        <w:rPr>
          <w:rFonts w:hint="eastAsia" w:ascii="宋体" w:hAnsi="宋体" w:cs="宋体"/>
          <w:b/>
          <w:color w:val="000000"/>
          <w:sz w:val="24"/>
          <w:highlight w:val="none"/>
        </w:rPr>
        <w:t xml:space="preserve">。</w:t>
      </w:r>
      <w:r/>
    </w:p>
    <w:p>
      <w:pPr>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2.5 资金来源证明及支付担保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发包人是否提供支付担保：</w:t>
      </w:r>
      <w:r>
        <w:rPr>
          <w:rFonts w:hint="eastAsia" w:ascii="宋体" w:hAnsi="宋体" w:cs="宋体"/>
          <w:color w:val="000000"/>
          <w:sz w:val="24"/>
          <w:highlight w:val="none"/>
          <w:u w:val="single"/>
        </w:rPr>
        <w:t xml:space="preserve">不提供</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发包人提供支付担保的形式：</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 承包人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承包人的一般义务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（5）承包人提交的竣工资料的内容：</w:t>
      </w:r>
      <w:r>
        <w:rPr>
          <w:rFonts w:hint="eastAsia" w:ascii="宋体" w:hAnsi="宋体" w:cs="宋体"/>
          <w:b/>
          <w:color w:val="000000"/>
          <w:sz w:val="24"/>
          <w:highlight w:val="none"/>
          <w:u w:val="single"/>
          <w:lang w:val="zh-CN"/>
        </w:rPr>
        <w:t xml:space="preserve">承包人</w:t>
      </w:r>
      <w:r>
        <w:rPr>
          <w:rFonts w:hint="eastAsia" w:ascii="宋体" w:hAnsi="宋体" w:cs="宋体"/>
          <w:b/>
          <w:color w:val="000000"/>
          <w:sz w:val="24"/>
          <w:highlight w:val="none"/>
          <w:u w:val="single"/>
        </w:rPr>
        <w:t xml:space="preserve">向发包人</w:t>
      </w:r>
      <w:r>
        <w:rPr>
          <w:rFonts w:hint="eastAsia" w:ascii="宋体" w:hAnsi="宋体" w:cs="宋体"/>
          <w:b/>
          <w:color w:val="000000"/>
          <w:sz w:val="24"/>
          <w:highlight w:val="none"/>
          <w:u w:val="single"/>
          <w:lang w:val="zh-CN"/>
        </w:rPr>
        <w:t xml:space="preserve">提供</w:t>
      </w:r>
      <w:r>
        <w:rPr>
          <w:rFonts w:hint="eastAsia" w:ascii="宋体" w:hAnsi="宋体" w:cs="宋体"/>
          <w:b/>
          <w:bCs/>
          <w:color w:val="000000"/>
          <w:sz w:val="24"/>
          <w:highlight w:val="none"/>
          <w:u w:val="single"/>
        </w:rPr>
        <w:t xml:space="preserve">监理工程师审查通过的完整</w:t>
      </w:r>
      <w:r>
        <w:rPr>
          <w:rFonts w:hint="eastAsia" w:ascii="宋体" w:hAnsi="宋体" w:cs="宋体"/>
          <w:b/>
          <w:bCs/>
          <w:color w:val="000000"/>
          <w:sz w:val="24"/>
          <w:highlight w:val="none"/>
          <w:u w:val="single"/>
          <w:lang w:eastAsia="zh-TW"/>
        </w:rPr>
        <w:t xml:space="preserve">的竣工图</w:t>
      </w:r>
      <w:r>
        <w:rPr>
          <w:rFonts w:hint="eastAsia" w:ascii="宋体" w:hAnsi="宋体" w:cs="宋体"/>
          <w:b/>
          <w:bCs/>
          <w:color w:val="000000"/>
          <w:sz w:val="24"/>
          <w:highlight w:val="none"/>
          <w:u w:val="single"/>
        </w:rPr>
        <w:t xml:space="preserve">（施工中没有设计变更，施工后由承包人在发包人提供的施工图纸上加盖竣工图章，提交发包人；施工中对原设计中变更较多，原施工图难于作为竣工图，应由承包人组织重新绘制竣工图</w:t>
      </w:r>
      <w:r>
        <w:rPr>
          <w:rFonts w:hint="eastAsia" w:ascii="宋体" w:hAnsi="宋体" w:cs="宋体"/>
          <w:b/>
          <w:color w:val="000000"/>
          <w:sz w:val="24"/>
          <w:highlight w:val="none"/>
          <w:u w:val="single"/>
        </w:rPr>
        <w:t xml:space="preserve">，并承担相应费用</w:t>
      </w:r>
      <w:r>
        <w:rPr>
          <w:rFonts w:hint="eastAsia" w:ascii="宋体" w:hAnsi="宋体" w:cs="宋体"/>
          <w:b/>
          <w:bCs/>
          <w:color w:val="000000"/>
          <w:sz w:val="24"/>
          <w:highlight w:val="none"/>
          <w:u w:val="single"/>
        </w:rPr>
        <w:t xml:space="preserve">）、符合审计要求的竣工结算资料及其他资料</w:t>
      </w:r>
      <w:r>
        <w:rPr>
          <w:rFonts w:hint="eastAsia" w:ascii="宋体" w:hAnsi="宋体" w:cs="宋体"/>
          <w:b/>
          <w:bCs/>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承包人需要提交的竣工资料套数：</w:t>
      </w:r>
      <w:r>
        <w:rPr>
          <w:rFonts w:hint="eastAsia" w:ascii="宋体" w:hAnsi="宋体" w:cs="宋体"/>
          <w:b/>
          <w:bCs/>
          <w:color w:val="000000"/>
          <w:sz w:val="24"/>
          <w:highlight w:val="none"/>
          <w:u w:val="single"/>
          <w:lang w:eastAsia="zh-TW"/>
        </w:rPr>
        <w:t xml:space="preserve">四套</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承包人提交的竣工资料的费用承担：</w:t>
      </w:r>
      <w:r>
        <w:rPr>
          <w:rFonts w:hint="eastAsia" w:ascii="宋体" w:hAnsi="宋体" w:cs="宋体"/>
          <w:b/>
          <w:bCs/>
          <w:color w:val="000000"/>
          <w:sz w:val="24"/>
          <w:highlight w:val="none"/>
          <w:u w:val="single"/>
          <w:lang w:eastAsia="zh-TW"/>
        </w:rPr>
        <w:t xml:space="preserve">由承包人承担</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承包人提交的竣工资料移交时间：</w:t>
      </w:r>
      <w:r>
        <w:rPr>
          <w:rFonts w:hint="eastAsia" w:ascii="宋体" w:hAnsi="宋体" w:cs="宋体"/>
          <w:b/>
          <w:bCs/>
          <w:color w:val="000000"/>
          <w:sz w:val="24"/>
          <w:highlight w:val="none"/>
          <w:u w:val="single"/>
        </w:rPr>
        <w:t xml:space="preserve">工程竣工验收合格之日算起30天内</w:t>
      </w:r>
      <w:r>
        <w:rPr>
          <w:rFonts w:hint="eastAsia" w:ascii="宋体" w:hAnsi="宋体" w:cs="宋体"/>
          <w:color w:val="000000"/>
          <w:sz w:val="24"/>
          <w:highlight w:val="none"/>
        </w:rPr>
        <w:t xml:space="preserve">。</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承包人提交的竣工资料形式要求：</w:t>
      </w:r>
      <w:r>
        <w:rPr>
          <w:rFonts w:hint="eastAsia" w:ascii="宋体" w:hAnsi="宋体" w:cs="宋体"/>
          <w:b/>
          <w:bCs/>
          <w:color w:val="000000"/>
          <w:sz w:val="24"/>
          <w:highlight w:val="none"/>
          <w:u w:val="single"/>
          <w:lang w:eastAsia="zh-TW"/>
        </w:rPr>
        <w:t xml:space="preserve">承包人提供的竣工图必须与实际相符合，否则由此对发包人所造成的所有损失由承包人承担。竣工时，承包人根据发包人的要求在竣工图标出各类管线的实际走向和定位。承包人提供的竣工图和资料必须经质量监督部门验收合格。</w:t>
      </w:r>
      <w:r/>
    </w:p>
    <w:p>
      <w:pPr>
        <w:ind w:firstLine="480"/>
        <w:spacing w:line="360" w:lineRule="auto"/>
        <w:rPr>
          <w:rFonts w:ascii="宋体" w:hAnsi="宋体" w:cs="宋体"/>
          <w:b/>
          <w:bCs/>
          <w:color w:val="000000"/>
          <w:sz w:val="24"/>
          <w:highlight w:val="none"/>
          <w:u w:val="single"/>
          <w:lang w:eastAsia="zh-TW"/>
        </w:rPr>
      </w:pPr>
      <w:r>
        <w:rPr>
          <w:rFonts w:hint="eastAsia" w:ascii="宋体" w:hAnsi="宋体" w:cs="宋体"/>
          <w:color w:val="000000"/>
          <w:sz w:val="24"/>
          <w:highlight w:val="none"/>
        </w:rPr>
        <w:t xml:space="preserve">（6）承包人应履行的其他义务：</w:t>
      </w:r>
      <w:r/>
    </w:p>
    <w:p>
      <w:pPr>
        <w:ind w:firstLine="482"/>
        <w:spacing w:line="360" w:lineRule="auto"/>
        <w:rPr>
          <w:rFonts w:ascii="宋体" w:hAnsi="宋体" w:cs="宋体"/>
          <w:b/>
          <w:bCs/>
          <w:color w:val="000000"/>
          <w:sz w:val="24"/>
          <w:highlight w:val="none"/>
          <w:u w:val="single"/>
          <w:lang w:eastAsia="zh-TW"/>
        </w:rPr>
      </w:pPr>
      <w:r>
        <w:rPr>
          <w:rFonts w:hint="eastAsia" w:ascii="宋体" w:hAnsi="宋体" w:cs="宋体"/>
          <w:b/>
          <w:bCs/>
          <w:color w:val="000000"/>
          <w:sz w:val="24"/>
          <w:highlight w:val="none"/>
          <w:u w:val="single"/>
        </w:rPr>
        <w:t xml:space="preserve">①</w:t>
      </w:r>
      <w:r>
        <w:rPr>
          <w:rFonts w:hint="eastAsia" w:ascii="宋体" w:hAnsi="宋体" w:cs="宋体"/>
          <w:b/>
          <w:bCs/>
          <w:color w:val="000000"/>
          <w:sz w:val="24"/>
          <w:highlight w:val="none"/>
          <w:u w:val="single"/>
          <w:lang w:eastAsia="zh-TW"/>
        </w:rPr>
        <w:t xml:space="preserve">承担施工安全保卫工作及非夜间施工照明的责任和要求：提供和维修非夜间施工使用的照明、围栏设施、安全防护等，并负责安全保卫。所需费用均包含在合同价中。</w:t>
      </w:r>
      <w:r/>
    </w:p>
    <w:p>
      <w:pPr>
        <w:ind w:firstLine="482"/>
        <w:spacing w:line="360" w:lineRule="auto"/>
        <w:rPr>
          <w:rFonts w:ascii="宋体" w:hAnsi="宋体" w:cs="宋体"/>
          <w:b/>
          <w:bCs/>
          <w:color w:val="000000"/>
          <w:sz w:val="24"/>
          <w:highlight w:val="none"/>
          <w:u w:val="single"/>
          <w:lang w:eastAsia="zh-TW"/>
        </w:rPr>
      </w:pPr>
      <w:r>
        <w:rPr>
          <w:rFonts w:hint="eastAsia" w:ascii="宋体" w:hAnsi="宋体" w:cs="宋体"/>
          <w:b/>
          <w:bCs/>
          <w:color w:val="000000"/>
          <w:sz w:val="24"/>
          <w:highlight w:val="none"/>
          <w:u w:val="single"/>
        </w:rPr>
        <w:t xml:space="preserve">②</w:t>
      </w:r>
      <w:r>
        <w:rPr>
          <w:rFonts w:hint="eastAsia" w:ascii="宋体" w:hAnsi="宋体" w:cs="宋体"/>
          <w:b/>
          <w:bCs/>
          <w:color w:val="000000"/>
          <w:sz w:val="24"/>
          <w:highlight w:val="none"/>
          <w:u w:val="single"/>
          <w:lang w:eastAsia="zh-TW"/>
        </w:rPr>
        <w:t xml:space="preserve">需承包人办理的有关施工场地交通、环卫和施工噪音管理等手续：遵守政府有关主管部门对施工场地交通、施工噪音、环境保护和安全生产等的管理规定，按规定办理有关手续，并以书面形式通知发包人。所需费用均包含在合同价中。</w:t>
      </w:r>
      <w:r/>
    </w:p>
    <w:p>
      <w:pPr>
        <w:ind w:firstLine="482"/>
        <w:spacing w:line="360" w:lineRule="auto"/>
        <w:rPr>
          <w:rFonts w:ascii="宋体" w:hAnsi="宋体" w:cs="宋体"/>
          <w:b/>
          <w:bCs/>
          <w:color w:val="000000"/>
          <w:sz w:val="24"/>
          <w:highlight w:val="none"/>
          <w:u w:val="single"/>
          <w:lang w:eastAsia="zh-TW"/>
        </w:rPr>
      </w:pPr>
      <w:r>
        <w:rPr>
          <w:rFonts w:hint="eastAsia" w:ascii="宋体" w:hAnsi="宋体" w:cs="宋体"/>
          <w:b/>
          <w:bCs/>
          <w:color w:val="000000"/>
          <w:sz w:val="24"/>
          <w:highlight w:val="none"/>
          <w:u w:val="single"/>
          <w:lang w:eastAsia="zh-TW"/>
        </w:rPr>
        <w:t xml:space="preserve">③施工场地周围地下管线和邻近建筑物及构筑物的保护，由承包人采取保护措施，协调处理。所需费用均包含在合同价中。进场需遵守物业的施工相关规定。</w:t>
      </w:r>
      <w:r/>
    </w:p>
    <w:p>
      <w:pPr>
        <w:ind w:firstLine="482"/>
        <w:spacing w:line="360" w:lineRule="auto"/>
        <w:rPr>
          <w:rFonts w:ascii="宋体" w:hAnsi="宋体" w:cs="宋体"/>
          <w:b/>
          <w:bCs/>
          <w:color w:val="000000"/>
          <w:sz w:val="24"/>
          <w:highlight w:val="none"/>
          <w:u w:val="single"/>
          <w:lang w:eastAsia="zh-TW"/>
        </w:rPr>
      </w:pPr>
      <w:r>
        <w:rPr>
          <w:rFonts w:hint="eastAsia" w:ascii="宋体" w:hAnsi="宋体" w:cs="宋体"/>
          <w:b/>
          <w:bCs/>
          <w:color w:val="000000"/>
          <w:sz w:val="24"/>
          <w:highlight w:val="none"/>
          <w:u w:val="single"/>
        </w:rPr>
        <w:t xml:space="preserve">④</w:t>
      </w:r>
      <w:r>
        <w:rPr>
          <w:rFonts w:hint="eastAsia" w:ascii="宋体" w:hAnsi="宋体" w:cs="宋体"/>
          <w:b/>
          <w:bCs/>
          <w:color w:val="000000"/>
          <w:sz w:val="24"/>
          <w:highlight w:val="none"/>
          <w:u w:val="single"/>
          <w:lang w:eastAsia="zh-TW"/>
        </w:rPr>
        <w:t xml:space="preserve">已完工程成品保护的特殊要求及费用承担：已完工程未交付给发包人之前，承包人负责已完成工程的保护工作，所需费用包含在合同价内。</w:t>
      </w:r>
      <w:r/>
    </w:p>
    <w:p>
      <w:pPr>
        <w:ind w:firstLine="482"/>
        <w:spacing w:line="360" w:lineRule="auto"/>
        <w:rPr>
          <w:rFonts w:ascii="宋体" w:hAnsi="宋体" w:cs="宋体"/>
          <w:b/>
          <w:bCs/>
          <w:color w:val="000000"/>
          <w:sz w:val="24"/>
          <w:highlight w:val="none"/>
          <w:u w:val="single"/>
          <w:lang w:eastAsia="zh-TW"/>
        </w:rPr>
      </w:pPr>
      <w:r>
        <w:rPr>
          <w:rFonts w:hint="eastAsia" w:ascii="宋体" w:hAnsi="宋体" w:cs="宋体"/>
          <w:b/>
          <w:bCs/>
          <w:color w:val="000000"/>
          <w:sz w:val="24"/>
          <w:highlight w:val="none"/>
          <w:u w:val="single"/>
        </w:rPr>
        <w:t xml:space="preserve">⑤</w:t>
      </w:r>
      <w:r>
        <w:rPr>
          <w:rFonts w:hint="eastAsia" w:ascii="宋体" w:hAnsi="宋体" w:cs="宋体"/>
          <w:b/>
          <w:bCs/>
          <w:color w:val="000000"/>
          <w:sz w:val="24"/>
          <w:highlight w:val="none"/>
          <w:u w:val="single"/>
          <w:lang w:eastAsia="zh-TW"/>
        </w:rPr>
        <w:t xml:space="preserve">施工场地清洁卫生的要求：按市级文明工地要求，做好场地清理及相关工作。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上述费用包含在合同价中。未能达到上述要求发包人有权扣除承包</w:t>
      </w:r>
      <w:r>
        <w:rPr>
          <w:rFonts w:hint="eastAsia" w:ascii="宋体" w:hAnsi="宋体" w:cs="宋体"/>
          <w:b/>
          <w:bCs/>
          <w:color w:val="000000"/>
          <w:sz w:val="24"/>
          <w:highlight w:val="none"/>
          <w:u w:val="single"/>
        </w:rPr>
        <w:t xml:space="preserve">人</w:t>
      </w:r>
      <w:r>
        <w:rPr>
          <w:rFonts w:hint="eastAsia" w:ascii="宋体" w:hAnsi="宋体" w:cs="宋体"/>
          <w:b/>
          <w:bCs/>
          <w:color w:val="000000"/>
          <w:sz w:val="24"/>
          <w:highlight w:val="none"/>
          <w:u w:val="single"/>
          <w:lang w:eastAsia="zh-TW"/>
        </w:rPr>
        <w:t xml:space="preserve">20%的履约保证金。若承包人现场施工作业面、办公区、生活区内清洁卫生满足不了文明施工要求，发包人有权安排其它单位或个人打扫，</w:t>
      </w:r>
      <w:r>
        <w:rPr>
          <w:rFonts w:hint="eastAsia" w:ascii="宋体" w:hAnsi="宋体" w:cs="宋体"/>
          <w:b/>
          <w:bCs/>
          <w:color w:val="000000"/>
          <w:sz w:val="24"/>
          <w:highlight w:val="none"/>
          <w:u w:val="single"/>
        </w:rPr>
        <w:t xml:space="preserve">按具体发生的费用2倍及以上从进度款中扣除</w:t>
      </w:r>
      <w:r>
        <w:rPr>
          <w:rFonts w:hint="eastAsia" w:ascii="宋体" w:hAnsi="宋体" w:cs="宋体"/>
          <w:b/>
          <w:bCs/>
          <w:color w:val="000000"/>
          <w:sz w:val="24"/>
          <w:highlight w:val="none"/>
          <w:u w:val="single"/>
          <w:lang w:eastAsia="zh-TW"/>
        </w:rPr>
        <w:t xml:space="preserve">。</w:t>
      </w:r>
      <w:r/>
    </w:p>
    <w:p>
      <w:pPr>
        <w:ind w:firstLine="482"/>
        <w:spacing w:line="360" w:lineRule="auto"/>
        <w:rPr>
          <w:rFonts w:ascii="宋体" w:hAnsi="宋体" w:cs="宋体"/>
          <w:b/>
          <w:bCs/>
          <w:color w:val="000000"/>
          <w:sz w:val="24"/>
          <w:highlight w:val="none"/>
          <w:u w:val="single"/>
          <w:lang w:eastAsia="zh-TW"/>
        </w:rPr>
      </w:pPr>
      <w:r>
        <w:rPr>
          <w:rFonts w:hint="eastAsia" w:ascii="宋体" w:hAnsi="宋体" w:cs="宋体"/>
          <w:b/>
          <w:bCs/>
          <w:color w:val="000000"/>
          <w:sz w:val="24"/>
          <w:highlight w:val="none"/>
          <w:u w:val="single"/>
        </w:rPr>
        <w:t xml:space="preserve">⑥</w:t>
      </w:r>
      <w:r>
        <w:rPr>
          <w:rFonts w:hint="eastAsia" w:ascii="宋体" w:hAnsi="宋体" w:cs="宋体"/>
          <w:b/>
          <w:bCs/>
          <w:color w:val="000000"/>
          <w:sz w:val="24"/>
          <w:highlight w:val="none"/>
          <w:u w:val="single"/>
          <w:lang w:eastAsia="zh-TW"/>
        </w:rPr>
        <w:t xml:space="preserve">双方约定承包人应做的其他工作：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w:t>
      </w:r>
      <w:r>
        <w:rPr>
          <w:rFonts w:hint="eastAsia" w:ascii="宋体" w:hAnsi="宋体" w:cs="宋体"/>
          <w:b/>
          <w:bCs/>
          <w:color w:val="000000"/>
          <w:sz w:val="24"/>
          <w:highlight w:val="none"/>
          <w:u w:val="single"/>
          <w:lang w:eastAsia="zh-TW"/>
        </w:rPr>
        <w:t xml:space="preserve">设施，并恢复原状，费用由责任方承担。D.临时停水、停电、二次搬运、成品保护等所需措施费用和工期承包人在投标报价中已充分考虑，并已考虑了各种可能因素影响施工所增加的费用，因此，发生上述情况，发包人不另行增加费用。E.对于施工过程中承包人不得因发包方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违约金。</w:t>
      </w:r>
      <w:r/>
    </w:p>
    <w:p>
      <w:pPr>
        <w:ind w:firstLine="482"/>
        <w:spacing w:line="360" w:lineRule="auto"/>
        <w:rPr>
          <w:rFonts w:ascii="宋体" w:hAnsi="宋体" w:cs="宋体"/>
          <w:b/>
          <w:bCs/>
          <w:color w:val="000000"/>
          <w:sz w:val="24"/>
          <w:highlight w:val="none"/>
          <w:u w:val="single"/>
          <w:lang w:eastAsia="zh-TW"/>
        </w:rPr>
      </w:pPr>
      <w:r>
        <w:rPr>
          <w:rFonts w:hint="eastAsia" w:ascii="宋体" w:hAnsi="宋体" w:cs="宋体"/>
          <w:b/>
          <w:bCs/>
          <w:color w:val="000000"/>
          <w:sz w:val="24"/>
          <w:highlight w:val="none"/>
          <w:u w:val="single"/>
        </w:rPr>
        <w:t xml:space="preserve">⑦</w:t>
      </w:r>
      <w:r>
        <w:rPr>
          <w:rFonts w:hint="eastAsia" w:ascii="宋体" w:hAnsi="宋体" w:cs="宋体"/>
          <w:b/>
          <w:bCs/>
          <w:color w:val="000000"/>
          <w:sz w:val="24"/>
          <w:highlight w:val="none"/>
          <w:u w:val="single"/>
          <w:lang w:eastAsia="zh-TW"/>
        </w:rPr>
        <w:t xml:space="preserve">承包人有义务根据发包人提供的图纸及有关文件提出合理化建议，以及对于设计中存在的问题在施工之前提出；承包人须无条件接受发包人发出的设计变更，并在合理的时间内完成设计变更。</w:t>
      </w:r>
      <w:r/>
    </w:p>
    <w:p>
      <w:pPr>
        <w:ind w:firstLine="482"/>
        <w:spacing w:line="360" w:lineRule="auto"/>
        <w:rPr>
          <w:rFonts w:ascii="宋体" w:hAnsi="宋体" w:cs="宋体"/>
          <w:b/>
          <w:bCs/>
          <w:color w:val="000000"/>
          <w:sz w:val="24"/>
          <w:highlight w:val="none"/>
          <w:u w:val="single"/>
          <w:lang w:eastAsia="zh-TW"/>
        </w:rPr>
      </w:pPr>
      <w:r>
        <w:rPr>
          <w:rFonts w:hint="eastAsia" w:ascii="宋体" w:hAnsi="宋体" w:cs="宋体"/>
          <w:b/>
          <w:bCs/>
          <w:color w:val="000000"/>
          <w:sz w:val="24"/>
          <w:highlight w:val="none"/>
          <w:u w:val="single"/>
          <w:lang w:eastAsia="zh-TW"/>
        </w:rPr>
        <w:t xml:space="preserve">⑧承包人在竣工验收合格后七天内拆除现场所有临时设施，包括所有的机械设备、材料、建筑垃圾全部清运出现场，清理标准应征得发包人认可。否则如发生相关费用由发包人</w:t>
      </w:r>
      <w:r>
        <w:rPr>
          <w:rFonts w:hint="eastAsia" w:ascii="宋体" w:hAnsi="宋体" w:cs="宋体"/>
          <w:b/>
          <w:color w:val="000000"/>
          <w:sz w:val="24"/>
          <w:highlight w:val="none"/>
          <w:u w:val="single"/>
        </w:rPr>
        <w:t xml:space="preserve">按实际发生费用的2倍及以上在工程结算价款中扣除</w:t>
      </w:r>
      <w:r>
        <w:rPr>
          <w:rFonts w:hint="eastAsia" w:ascii="宋体" w:hAnsi="宋体" w:cs="宋体"/>
          <w:b/>
          <w:bCs/>
          <w:color w:val="000000"/>
          <w:sz w:val="24"/>
          <w:highlight w:val="none"/>
          <w:u w:val="single"/>
          <w:lang w:eastAsia="zh-TW"/>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项目经理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3.2.1 项目经理：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建造师执业资格等级：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建造师注册证书号：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建造师执业印章号：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安全生产考核合格证书号：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承包人对项目经理的授权范围如下：</w:t>
      </w:r>
      <w:r>
        <w:rPr>
          <w:rFonts w:hint="eastAsia" w:ascii="宋体" w:hAnsi="宋体" w:cs="宋体"/>
          <w:b/>
          <w:bCs/>
          <w:color w:val="000000"/>
          <w:sz w:val="24"/>
          <w:highlight w:val="none"/>
          <w:u w:val="single"/>
        </w:rPr>
        <w:t xml:space="preserve">负责现场工程管理、协调关系、听从发包人和监理的指挥。</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关于项目经理每月在施工现场的时间要求：</w:t>
      </w:r>
      <w:r>
        <w:rPr>
          <w:rFonts w:hint="eastAsia" w:ascii="宋体" w:hAnsi="宋体" w:cs="宋体"/>
          <w:b/>
          <w:bCs/>
          <w:color w:val="000000"/>
          <w:sz w:val="24"/>
          <w:highlight w:val="none"/>
          <w:u w:val="single"/>
        </w:rPr>
        <w:t xml:space="preserve">项目经理保证出勤每周六天及以上，每月不少于26天，并在每天不少于8小时，每少一天向发包人支付违约金2000元，累计缺勤15天或连续缺勤5天，发包人有权单方面提前终止合同，限令退场，已完成工程量不予结算，并由承包人承担由此发生的全部责任和损失。</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承包人未提交劳动合同，以及没有为项目经理缴纳养老保险证明的违约责任：</w:t>
      </w:r>
      <w:r>
        <w:rPr>
          <w:rFonts w:hint="eastAsia" w:ascii="宋体" w:hAnsi="宋体" w:cs="宋体"/>
          <w:b/>
          <w:bCs/>
          <w:color w:val="000000"/>
          <w:sz w:val="24"/>
          <w:highlight w:val="none"/>
          <w:u w:val="single"/>
        </w:rPr>
        <w:t xml:space="preserve">除须补交资料及补齐手续外，另须支付2万元违约金。</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项目经理未经批准，擅自离开施工现场的违约责任：</w:t>
      </w:r>
      <w:r>
        <w:rPr>
          <w:rFonts w:hint="eastAsia" w:ascii="宋体" w:hAnsi="宋体" w:cs="宋体"/>
          <w:b/>
          <w:bCs/>
          <w:color w:val="000000"/>
          <w:sz w:val="24"/>
          <w:highlight w:val="none"/>
          <w:u w:val="single"/>
        </w:rPr>
        <w:t xml:space="preserve">发包人将不定期进行考核检查，检查时，发现未经发包人同意，项目经理擅自离开现场，每少一天向发包人支付违约金2000元，累计缺勤15天或连续缺勤5天，发包人有权单方面提前终止合同，限令退场，已完成工程量不予结算，并由承包人承担由此发生的全部责任和损失。</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3.2.3 承包人擅自更换项目经理的违约责任：</w:t>
      </w:r>
      <w:r>
        <w:rPr>
          <w:rFonts w:hint="eastAsia" w:ascii="宋体" w:hAnsi="宋体" w:cs="宋体"/>
          <w:b/>
          <w:bCs/>
          <w:color w:val="000000"/>
          <w:sz w:val="24"/>
          <w:highlight w:val="none"/>
          <w:u w:val="single"/>
        </w:rPr>
        <w:t xml:space="preserve">派驻现场的项目经理应与响应文件一致，必须保证施工全过程在本项目工地工作，更换项目经理必须得到发包人书面认可，未经发包人同意擅自更换项目经理的，按每人次10万元向发包人支付违约金。项目经理必须坚守岗位，不得兼职本工程以外的工作，在本工程施工期内月出勤率必须达26天以上，每天不少于8小时，离开施工现场必须向发包人请假。</w:t>
      </w:r>
      <w:r/>
    </w:p>
    <w:p>
      <w:pPr>
        <w:ind w:firstLine="480"/>
        <w:spacing w:line="360" w:lineRule="auto"/>
        <w:rPr>
          <w:rFonts w:ascii="宋体" w:hAnsi="宋体" w:cs="宋体"/>
          <w:b/>
          <w:color w:val="000000"/>
          <w:sz w:val="24"/>
          <w:highlight w:val="none"/>
          <w:u w:val="single"/>
        </w:rPr>
      </w:pPr>
      <w:r>
        <w:rPr>
          <w:rFonts w:hint="eastAsia" w:ascii="宋体" w:hAnsi="宋体" w:cs="宋体"/>
          <w:color w:val="000000"/>
          <w:sz w:val="24"/>
          <w:highlight w:val="none"/>
        </w:rPr>
        <w:t xml:space="preserve">3.2.4 承包人无正当理由拒绝更换项目经理的违约责任：</w:t>
      </w:r>
      <w:r>
        <w:rPr>
          <w:rFonts w:hint="eastAsia" w:ascii="宋体" w:hAnsi="宋体" w:cs="宋体"/>
          <w:b/>
          <w:bCs/>
          <w:color w:val="000000"/>
          <w:sz w:val="24"/>
          <w:highlight w:val="none"/>
          <w:u w:val="single"/>
        </w:rPr>
        <w:t xml:space="preserve">投标书中承诺的项目负责人经发包人和监理方考核不合格者，承包人必须在一周内无条件更换，同时须支付</w:t>
      </w:r>
      <w:r>
        <w:rPr>
          <w:rFonts w:hint="eastAsia" w:ascii="宋体" w:hAnsi="宋体" w:cs="宋体"/>
          <w:b/>
          <w:color w:val="000000"/>
          <w:sz w:val="24"/>
          <w:highlight w:val="none"/>
          <w:u w:val="single"/>
        </w:rPr>
        <w:t xml:space="preserve">1万元/次的违约金。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承包人人员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3.3.1 承包人提交项目管理机构及施工现场管理人员安排报告的期限：</w:t>
      </w:r>
      <w:r>
        <w:rPr>
          <w:rFonts w:hint="eastAsia" w:ascii="宋体" w:hAnsi="宋体" w:cs="宋体"/>
          <w:b/>
          <w:color w:val="000000"/>
          <w:sz w:val="24"/>
          <w:highlight w:val="none"/>
          <w:u w:val="single"/>
        </w:rPr>
        <w:t xml:space="preserve">开工前3天</w:t>
      </w:r>
      <w:r>
        <w:rPr>
          <w:rFonts w:hint="eastAsia" w:ascii="宋体" w:hAnsi="宋体" w:cs="宋体"/>
          <w:color w:val="000000"/>
          <w:sz w:val="24"/>
          <w:highlight w:val="none"/>
        </w:rPr>
        <w:t xml:space="preserve">。</w:t>
      </w:r>
      <w:r/>
    </w:p>
    <w:p>
      <w:pPr>
        <w:ind w:firstLine="480"/>
        <w:spacing w:line="360" w:lineRule="auto"/>
        <w:rPr>
          <w:rFonts w:ascii="宋体" w:hAnsi="宋体" w:cs="宋体"/>
          <w:b/>
          <w:color w:val="000000"/>
          <w:sz w:val="24"/>
          <w:highlight w:val="none"/>
          <w:u w:val="single"/>
        </w:rPr>
      </w:pPr>
      <w:r>
        <w:rPr>
          <w:rFonts w:hint="eastAsia" w:ascii="宋体" w:hAnsi="宋体" w:cs="宋体"/>
          <w:color w:val="000000"/>
          <w:sz w:val="24"/>
          <w:highlight w:val="none"/>
        </w:rPr>
        <w:t xml:space="preserve">3.3.3 承包人无正当理由拒绝撤换主要施工管理人员的违约责任：</w:t>
      </w:r>
      <w:r>
        <w:rPr>
          <w:rFonts w:hint="eastAsia" w:ascii="宋体" w:hAnsi="宋体" w:cs="宋体"/>
          <w:b/>
          <w:color w:val="000000"/>
          <w:sz w:val="24"/>
          <w:highlight w:val="none"/>
          <w:u w:val="single"/>
        </w:rPr>
        <w:t xml:space="preserve">承包人向发包人支付违约金1万元/次/人。实际施工过程中，本项目主要施工管理人员（含</w:t>
      </w:r>
      <w:r>
        <w:rPr>
          <w:rFonts w:hint="eastAsia" w:ascii="宋体" w:hAnsi="宋体" w:cs="宋体"/>
          <w:b/>
          <w:bCs/>
          <w:color w:val="000000"/>
          <w:sz w:val="24"/>
          <w:highlight w:val="none"/>
          <w:u w:val="single"/>
        </w:rPr>
        <w:t xml:space="preserve">技术负责人、施工员、安全员、质量员、资料员</w:t>
      </w:r>
      <w:r>
        <w:rPr>
          <w:rFonts w:hint="eastAsia" w:ascii="宋体" w:hAnsi="宋体" w:cs="宋体"/>
          <w:b/>
          <w:color w:val="000000"/>
          <w:sz w:val="24"/>
          <w:highlight w:val="none"/>
          <w:u w:val="single"/>
        </w:rPr>
        <w:t xml:space="preserve">）经发包人和监理方考核不合格者，承包人必须在一周内无条件更换，直至发包人认可。如更换3次（含3次）以上，发包人仍不满意，则发包人有权单方面提前终止合同，限令退场，已完成的合格工程量按60%结算，并由承包人承担由此发生的全部责任和损失。</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3.3.4 承包人主要施工管理人员离开施工现场的批准要求：</w:t>
      </w:r>
      <w:r>
        <w:rPr>
          <w:rFonts w:hint="eastAsia" w:ascii="宋体" w:hAnsi="宋体" w:cs="宋体"/>
          <w:b/>
          <w:bCs/>
          <w:color w:val="000000"/>
          <w:sz w:val="24"/>
          <w:highlight w:val="none"/>
          <w:u w:val="single"/>
        </w:rPr>
        <w:t xml:space="preserve">须经监理及发包人现场代表书面同意。</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3.3.5承包人擅自更换主要施工管理人员的违约责任：</w:t>
      </w:r>
      <w:r>
        <w:rPr>
          <w:rFonts w:hint="eastAsia" w:ascii="宋体" w:hAnsi="宋体" w:cs="宋体"/>
          <w:b/>
          <w:bCs/>
          <w:color w:val="000000"/>
          <w:sz w:val="24"/>
          <w:highlight w:val="none"/>
          <w:u w:val="single"/>
        </w:rPr>
        <w:t xml:space="preserve">承包人必须指派投标书中承诺的本项目主要施工管理人员（含技术负责人、施工员、安全员、质量员、资料员）到施工现场负责施工管理，且通过发包人的考核；若有变动，除需得到发包人考核认可外，同时需向发包人支付违约金1万元/次/人。</w:t>
      </w:r>
      <w:r/>
    </w:p>
    <w:p>
      <w:pPr>
        <w:ind w:firstLine="72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承包人主要施工管理人员擅自离开施工现场的违约责任：</w:t>
      </w:r>
      <w:r>
        <w:rPr>
          <w:rFonts w:hint="eastAsia" w:ascii="宋体" w:hAnsi="宋体" w:cs="宋体"/>
          <w:b/>
          <w:bCs/>
          <w:color w:val="000000"/>
          <w:sz w:val="24"/>
          <w:highlight w:val="none"/>
          <w:u w:val="single"/>
        </w:rPr>
        <w:t xml:space="preserve">主要管理人员保证出勤每周6天及以上，每月不少于26天并且每天在施工现场不少于8小时，每少一天向发包人支付1500元/人违约金，擅自离开施工现场的，视为缺勤处理。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分包</w:t>
      </w:r>
      <w:r/>
    </w:p>
    <w:p>
      <w:pPr>
        <w:ind w:firstLine="480"/>
        <w:keepLines/>
        <w:keepNext/>
        <w:spacing w:line="360" w:lineRule="auto"/>
        <w:rPr>
          <w:rFonts w:ascii="宋体" w:hAnsi="宋体" w:cs="宋体"/>
          <w:b/>
          <w:bCs/>
          <w:color w:val="000000"/>
          <w:sz w:val="24"/>
          <w:highlight w:val="none"/>
          <w:u w:val="single"/>
        </w:rPr>
        <w:outlineLvl w:val="3"/>
      </w:pPr>
      <w:r>
        <w:rPr>
          <w:rFonts w:hint="eastAsia" w:ascii="宋体" w:hAnsi="宋体" w:cs="宋体"/>
          <w:bCs/>
          <w:color w:val="000000"/>
          <w:sz w:val="24"/>
          <w:highlight w:val="none"/>
        </w:rPr>
        <w:t xml:space="preserve">允许分包的专业工程包括</w:t>
      </w:r>
      <w:r>
        <w:rPr>
          <w:rFonts w:hint="eastAsia" w:ascii="宋体" w:hAnsi="宋体" w:cs="宋体"/>
          <w:b/>
          <w:color w:val="000000"/>
          <w:sz w:val="24"/>
          <w:highlight w:val="none"/>
        </w:rPr>
        <w:t xml:space="preserve">：</w:t>
      </w:r>
      <w:r>
        <w:rPr>
          <w:rFonts w:hint="eastAsia" w:ascii="宋体" w:hAnsi="宋体" w:cs="宋体"/>
          <w:b/>
          <w:bCs/>
          <w:color w:val="000000"/>
          <w:sz w:val="24"/>
          <w:highlight w:val="none"/>
          <w:u w:val="single"/>
        </w:rPr>
        <w:t xml:space="preserve">禁止分包。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工程照管与成品、半成品保护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承包人负责照管工程及工程相关的材料、工程设备的起始时间：</w:t>
      </w:r>
      <w:r>
        <w:rPr>
          <w:rFonts w:hint="eastAsia" w:ascii="宋体" w:hAnsi="宋体" w:cs="宋体"/>
          <w:b/>
          <w:color w:val="000000"/>
          <w:sz w:val="24"/>
          <w:highlight w:val="none"/>
          <w:u w:val="single"/>
        </w:rPr>
        <w:t xml:space="preserve">设备、人员进场至验收交付使用前由承包人负责保修，无其它特殊要求的，费用由承包人承担</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履约担保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承包人是否提供履约担保：</w:t>
      </w:r>
      <w:r>
        <w:rPr>
          <w:rFonts w:hint="eastAsia" w:ascii="宋体" w:hAnsi="宋体" w:cs="宋体"/>
          <w:b/>
          <w:bCs/>
          <w:color w:val="000000"/>
          <w:sz w:val="24"/>
          <w:highlight w:val="none"/>
          <w:u w:val="single"/>
        </w:rPr>
        <w:t xml:space="preserve">提供</w:t>
      </w:r>
      <w:r>
        <w:rPr>
          <w:rFonts w:hint="eastAsia" w:ascii="宋体" w:hAnsi="宋体" w:cs="宋体"/>
          <w:color w:val="000000"/>
          <w:sz w:val="24"/>
          <w:highlight w:val="none"/>
        </w:rPr>
        <w:t xml:space="preserve">。</w:t>
      </w:r>
      <w:r/>
    </w:p>
    <w:p>
      <w:pPr>
        <w:ind w:firstLine="480"/>
        <w:spacing w:line="360" w:lineRule="auto"/>
        <w:rPr>
          <w:rFonts w:hint="eastAsia" w:ascii="宋体" w:hAnsi="宋体" w:eastAsia="宋体" w:cs="宋体"/>
          <w:b/>
          <w:color w:val="000000"/>
          <w:sz w:val="24"/>
          <w:highlight w:val="none"/>
          <w:u w:val="single"/>
        </w:rPr>
      </w:pPr>
      <w:r>
        <w:rPr>
          <w:rFonts w:hint="eastAsia" w:ascii="宋体" w:hAnsi="宋体" w:cs="宋体"/>
          <w:color w:val="000000"/>
          <w:sz w:val="24"/>
          <w:highlight w:val="none"/>
        </w:rPr>
        <w:t xml:space="preserve">承包人提供履约担保的形式、金额及期限：</w:t>
      </w:r>
      <w:r>
        <w:rPr>
          <w:rFonts w:hint="eastAsia" w:ascii="宋体" w:hAnsi="宋体" w:cs="宋体"/>
          <w:b/>
          <w:color w:val="000000"/>
          <w:sz w:val="24"/>
          <w:highlight w:val="none"/>
          <w:u w:val="single"/>
        </w:rPr>
        <w:t xml:space="preserve">银行转账</w:t>
      </w:r>
      <w:r>
        <w:rPr>
          <w:rFonts w:hint="eastAsia" w:ascii="宋体" w:hAnsi="宋体" w:cs="宋体"/>
          <w:b/>
          <w:color w:val="000000"/>
          <w:sz w:val="24"/>
          <w:highlight w:val="none"/>
          <w:u w:val="single"/>
          <w:lang w:eastAsia="zh-CN"/>
        </w:rPr>
        <w:t xml:space="preserve">或履约保函（保险）</w:t>
      </w:r>
      <w:r>
        <w:rPr>
          <w:rFonts w:hint="eastAsia" w:ascii="宋体" w:hAnsi="宋体" w:cs="宋体"/>
          <w:b/>
          <w:color w:val="000000"/>
          <w:sz w:val="24"/>
          <w:highlight w:val="none"/>
          <w:u w:val="single"/>
        </w:rPr>
        <w:t xml:space="preserve">，中标人须在成交通知书发出后7日内交齐履约保证金后根据招标文件的要求签订合同，否则视为自动放弃中标资格，且投标保证金不予退还。承包人</w:t>
      </w:r>
      <w:r>
        <w:rPr>
          <w:rFonts w:hint="eastAsia" w:ascii="宋体" w:hAnsi="宋体" w:cs="宋体"/>
          <w:b/>
          <w:bCs/>
          <w:color w:val="000000"/>
          <w:sz w:val="24"/>
          <w:highlight w:val="none"/>
          <w:u w:val="single"/>
        </w:rPr>
        <w:t xml:space="preserve">提供的履约保证金为合同总价的10%。</w:t>
      </w:r>
      <w:r>
        <w:rPr>
          <w:rFonts w:hint="eastAsia" w:hAnsi="宋体"/>
          <w:color w:val="000000"/>
          <w:sz w:val="24"/>
          <w:szCs w:val="24"/>
          <w:highlight w:val="none"/>
        </w:rPr>
        <w:t xml:space="preserve"> </w:t>
      </w:r>
      <w:r>
        <w:rPr>
          <w:rFonts w:hint="eastAsia" w:ascii="宋体" w:hAnsi="宋体" w:cs="宋体"/>
          <w:b/>
          <w:bCs/>
          <w:color w:val="000000"/>
          <w:sz w:val="24"/>
          <w:highlight w:val="none"/>
          <w:u w:val="single"/>
          <w:lang w:eastAsia="zh-CN"/>
        </w:rPr>
        <w:t xml:space="preserve">承包人</w:t>
      </w:r>
      <w:r>
        <w:rPr>
          <w:rFonts w:hint="eastAsia" w:ascii="宋体" w:hAnsi="宋体" w:cs="宋体"/>
          <w:b/>
          <w:bCs/>
          <w:color w:val="000000"/>
          <w:sz w:val="24"/>
          <w:highlight w:val="none"/>
          <w:u w:val="single"/>
        </w:rPr>
        <w:t xml:space="preserve">按要求保质保量的完成该项目且通过最终验收后，一次性退还履约</w:t>
      </w:r>
      <w:r>
        <w:rPr>
          <w:rFonts w:hint="eastAsia" w:ascii="宋体" w:hAnsi="宋体" w:eastAsia="宋体" w:cs="宋体"/>
          <w:b/>
          <w:color w:val="000000"/>
          <w:sz w:val="24"/>
          <w:highlight w:val="none"/>
          <w:u w:val="single"/>
        </w:rPr>
        <w:t xml:space="preserve">保证金。</w:t>
      </w:r>
      <w:r/>
    </w:p>
    <w:p>
      <w:pPr>
        <w:ind w:firstLine="480"/>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以履约保函（保险）形式向采购单位缴纳的，按照《关于在全省政府采购领域推行电子履约保函（保险）的通知》（苏财购〔2023〕150号），登录江苏政府采购网，选择“保险保函”模块，进行相关操作。供应商可登录江苏政府采购网“资料下载”栏目（网址：http://www.ccgp-jiangsu.gov.cn/jiangsu/zlxz)下载“政府采购电子履约保函（保险）操作手册”。</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4. 监理人</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4.1监理人的一般规定</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关于监理人的监理内容：</w:t>
      </w:r>
      <w:r>
        <w:rPr>
          <w:rFonts w:hint="eastAsia" w:ascii="宋体" w:hAnsi="宋体" w:cs="宋体"/>
          <w:b/>
          <w:bCs/>
          <w:sz w:val="24"/>
          <w:highlight w:val="none"/>
          <w:u w:val="single"/>
        </w:rPr>
        <w:t xml:space="preserve">见《建设工程委托监理合同》。</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关于监理人的监理权限：</w:t>
      </w:r>
      <w:r>
        <w:rPr>
          <w:rFonts w:hint="eastAsia" w:ascii="宋体" w:hAnsi="宋体" w:cs="宋体"/>
          <w:b/>
          <w:bCs/>
          <w:sz w:val="24"/>
          <w:highlight w:val="none"/>
          <w:u w:val="single"/>
        </w:rPr>
        <w:t xml:space="preserve">见《建设工程委托监理合同》。</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关于监理人在施工现场的办公场所、生活场所的提供和费用承担的约定：</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4.2 监理人员</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总监理工程师：</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姓    名：</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职    务：</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监理工程师执业资格证书号：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联系电话：</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电子信箱：</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通信地址：</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关于监理人的其他约定：</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4.4 商定或确定</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在发包人和承包人不能通过协商达成一致意见时，发包人授权监理人对以下事项进行确定：</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5. 工程质量</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5.1 质量要求</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5.1.1 特殊质量标准和要求：</w:t>
      </w:r>
      <w:r/>
    </w:p>
    <w:p>
      <w:pPr>
        <w:ind w:firstLine="482"/>
        <w:keepLines w:val="0"/>
        <w:keepNext w:val="0"/>
        <w:pageBreakBefore w:val="0"/>
        <w:spacing w:line="360" w:lineRule="auto"/>
        <w:widowControl w:val="off"/>
        <w:rPr>
          <w:rFonts w:ascii="宋体" w:hAnsi="宋体" w:cs="宋体"/>
          <w:bCs/>
          <w:sz w:val="24"/>
          <w:highlight w:val="none"/>
        </w:rPr>
      </w:pPr>
      <w:r>
        <w:rPr>
          <w:rFonts w:hint="eastAsia" w:ascii="宋体" w:hAnsi="宋体" w:cs="宋体"/>
          <w:b/>
          <w:bCs/>
          <w:sz w:val="24"/>
          <w:highlight w:val="none"/>
          <w:u w:val="single"/>
        </w:rPr>
        <w:t xml:space="preserve">1、满足国家验收合格标准、</w:t>
      </w:r>
      <w:r>
        <w:rPr>
          <w:rFonts w:hint="eastAsia" w:ascii="宋体" w:hAnsi="宋体" w:cs="宋体"/>
          <w:b/>
          <w:bCs/>
          <w:sz w:val="24"/>
          <w:highlight w:val="none"/>
          <w:u w:val="single"/>
          <w:lang w:eastAsia="zh-CN"/>
        </w:rPr>
        <w:t xml:space="preserve">磋商</w:t>
      </w:r>
      <w:r>
        <w:rPr>
          <w:rFonts w:hint="eastAsia" w:ascii="宋体" w:hAnsi="宋体" w:cs="宋体"/>
          <w:b/>
          <w:bCs/>
          <w:sz w:val="24"/>
          <w:highlight w:val="none"/>
          <w:u w:val="single"/>
        </w:rPr>
        <w:t xml:space="preserve">文件及合同约定的相关要求，不影响项目总体质量目标</w:t>
      </w:r>
      <w:r>
        <w:rPr>
          <w:rFonts w:hint="eastAsia" w:ascii="宋体" w:hAnsi="宋体" w:cs="宋体"/>
          <w:bCs/>
          <w:sz w:val="24"/>
          <w:highlight w:val="none"/>
        </w:rPr>
        <w:t xml:space="preserve">。</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2.承包人对承包范围内的全部工程的质量承担相应责任。承包人必须严格按照施工图纸、工程技术要求及有关工程施工规范、规格和标准施工，并无条件的接受发包人委托的监理单位全方位、全过程的监督管理。</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3.无论监理工程师是否进行并通过了各项检验，均不解除承包人对自己承包的工程的质量所负责任，在采用承包人设计的施工图施工时，所引起的设计质量责任由承包人承担。</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4.无论工程材料设备是由承包人执行采购供应或是由发包人指定的材料设备供应商提供，均不解除承包人所负的工程质量全面责任，承包人应该对各种材料、设备按规范、规程进行检查，拒绝不符合要求的材料、设备用于工程。除非对发包人指定的材料设备承包人已在使用前及时书面提出理由并通知监理工程师该材料设备不符合要求，否则无论何种原因，出现不合格材料、设备用于工程的情况，承包人均应承担应有的责任。</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5.若竣工验收时经质量监督部门验收认定未达到合格，则承包人须无偿返工直至达到合格。 </w:t>
      </w:r>
      <w:r/>
    </w:p>
    <w:p>
      <w:pPr>
        <w:ind w:firstLine="480"/>
        <w:keepLines w:val="0"/>
        <w:keepNext w:val="0"/>
        <w:pageBreakBefore w:val="0"/>
        <w:spacing w:line="360" w:lineRule="auto"/>
        <w:widowControl w:val="off"/>
        <w:rPr>
          <w:rFonts w:ascii="宋体" w:hAnsi="宋体" w:cs="宋体"/>
          <w:bCs/>
          <w:sz w:val="24"/>
          <w:highlight w:val="none"/>
          <w:u w:val="single"/>
        </w:rPr>
      </w:pPr>
      <w:r>
        <w:rPr>
          <w:rFonts w:hint="eastAsia" w:ascii="宋体" w:hAnsi="宋体" w:cs="宋体"/>
          <w:bCs/>
          <w:sz w:val="24"/>
          <w:highlight w:val="none"/>
        </w:rPr>
        <w:t xml:space="preserve">关于工程奖项的约定：</w:t>
      </w:r>
      <w:r>
        <w:rPr>
          <w:rFonts w:hint="eastAsia" w:ascii="宋体" w:hAnsi="宋体" w:cs="宋体"/>
          <w:b/>
          <w:bCs/>
          <w:sz w:val="24"/>
          <w:highlight w:val="none"/>
          <w:u w:val="single"/>
          <w:lang w:val="en-US" w:eastAsia="zh-CN"/>
        </w:rPr>
        <w:t xml:space="preserve">/</w:t>
      </w:r>
      <w:r>
        <w:rPr>
          <w:rFonts w:hint="eastAsia" w:ascii="宋体" w:hAnsi="宋体" w:cs="宋体"/>
          <w:b/>
          <w:bCs/>
          <w:sz w:val="24"/>
          <w:highlight w:val="none"/>
          <w:u w:val="singl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5.3 隐蔽工程检查</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5.3.2承包人提前通知监理人隐蔽工程检查的期限的约定：</w:t>
      </w:r>
      <w:r>
        <w:rPr>
          <w:rFonts w:hint="eastAsia" w:ascii="宋体" w:hAnsi="宋体" w:cs="宋体"/>
          <w:b/>
          <w:bCs/>
          <w:sz w:val="24"/>
          <w:highlight w:val="none"/>
          <w:u w:val="single"/>
        </w:rPr>
        <w:t xml:space="preserve">隐蔽工程检查前48小时书面通知监理人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监理人不能按时进行检查时，应提前</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24</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小时提交书面延期要求。</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关于延期最长不得超过：</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48</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小时。</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6. 安全文明施工与环境保护</w:t>
      </w:r>
      <w:r/>
    </w:p>
    <w:p>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 6.1.1 项目安全生产的达标目标及相应事项的约定：</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1）承包人须对本合同范围内所有施工范围和施工人员负全部安全施工责任。承包人应严格按《建设工程安全生产管理条例》等法律、工程建设安全生产地有关管理规定，采取安全措施组织施工。若发生安全事故，一切责任由承包方承担，没收全部安全文明履约保证金，并视情节严重向承包方收取1万-5万违约金。</w:t>
      </w:r>
      <w:r/>
    </w:p>
    <w:p>
      <w:pPr>
        <w:ind w:firstLine="361"/>
        <w:spacing w:line="360" w:lineRule="auto"/>
        <w:rPr>
          <w:rFonts w:ascii="宋体" w:hAnsi="宋体" w:cs="宋体"/>
          <w:color w:val="000000"/>
          <w:sz w:val="24"/>
          <w:highlight w:val="none"/>
        </w:rPr>
      </w:pPr>
      <w:r>
        <w:rPr>
          <w:rFonts w:hint="eastAsia" w:ascii="宋体" w:hAnsi="宋体" w:cs="宋体"/>
          <w:b/>
          <w:color w:val="000000"/>
          <w:sz w:val="24"/>
          <w:highlight w:val="none"/>
          <w:u w:val="single"/>
        </w:rPr>
        <w:t xml:space="preserve">（2）承包人对施工现场安全生产负总责，现场必须按要求配备安全员，安全员及特种作业人员应持证上岗。</w:t>
      </w:r>
      <w:r/>
    </w:p>
    <w:p>
      <w:pPr>
        <w:ind w:firstLine="361"/>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3）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r/>
    </w:p>
    <w:p>
      <w:pPr>
        <w:ind w:firstLine="361"/>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工程施工前，承包人应根据法律、法规、规范、标准等要求，制定安全施工标准及要求，负责向施工作业班组、作业人员作出详细的说明，并由双方签字确认。</w:t>
      </w:r>
      <w:r/>
    </w:p>
    <w:p>
      <w:pPr>
        <w:ind w:firstLine="361"/>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工程施工前，承包人使用的安全防护用具、机械设备、施工机具及配件，应当具有生产（制造）许可证、产品合格证，并在进入施工现场前进行查验，经监理工程师签字确认后方可使用。</w:t>
      </w:r>
      <w:r/>
    </w:p>
    <w:p>
      <w:pPr>
        <w:ind w:firstLine="361"/>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特种作业人员，必须按照国家有关规定经过专门的安全作业培训，并取得特种作业操作资格证书后，方可上岗作业。</w:t>
      </w:r>
      <w:r/>
    </w:p>
    <w:p>
      <w:pPr>
        <w:ind w:firstLine="361"/>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（4）承包人应严格按《建设工程安全生产管理条例》等法律、法规采取安全措施、组织施工，如发生事故，所造成的一切责任与后果均由承包人承担。</w:t>
      </w:r>
      <w:r/>
    </w:p>
    <w:p>
      <w:pPr>
        <w:ind w:firstLine="361"/>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（5）未能达到上述要求，发包人有权扣除承包人安全文明施工履约保证金的50%。</w:t>
      </w:r>
      <w:r/>
    </w:p>
    <w:p>
      <w:pPr>
        <w:ind w:firstLine="361"/>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6）建立安全制度、安全检查制度、安全教育制度、工地班前活动制度、文明施工检查制度。满足江苏省、南通市等安监部门安全文明生产的要求，做好安全技术教育及交底，落实所有安全技术措施和人身防护用品。</w:t>
      </w:r>
      <w:r/>
    </w:p>
    <w:p>
      <w:pPr>
        <w:ind w:firstLine="361"/>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（7）凡在施工期间，由于承包人原因造成的事故，除根据事故的严重程度或等级扣除20%的履约保证金金额外，还需承担全部责任及由此引起的一切费用，发包人不承担任何责任。</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6.1.2 关于治安保卫的特别约定：</w:t>
      </w:r>
      <w:r>
        <w:rPr>
          <w:rFonts w:hint="eastAsia" w:ascii="宋体" w:hAnsi="宋体" w:cs="宋体"/>
          <w:b/>
          <w:color w:val="000000"/>
          <w:spacing w:val="-7"/>
          <w:sz w:val="24"/>
          <w:highlight w:val="none"/>
          <w:u w:val="single"/>
        </w:rPr>
        <w:t xml:space="preserve">提供和维修非夜间施工使用的照明、围栏设施，并负责安全保卫。施工期间承包人按发包人要求做好成品保护工作；未竣工或已竣工工程未交付之前，由承包单位负责已完成工程的保护工作，所需费用含在报价内。对需要保护的产品和材料须保护期内发生损坏由承包人无条件、自费、限期予以修补。竣工合格交付后由发包人负责保护，如发包人有特殊要求的可另行补充协议加以约定</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6.1.3 文明施工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合同当事人对文明施工的要求：</w:t>
      </w:r>
      <w:r>
        <w:rPr>
          <w:rFonts w:hint="eastAsia" w:ascii="宋体" w:hAnsi="宋体" w:cs="宋体"/>
          <w:b/>
          <w:bCs/>
          <w:color w:val="000000"/>
          <w:sz w:val="24"/>
          <w:highlight w:val="none"/>
          <w:u w:val="single"/>
        </w:rPr>
        <w:t xml:space="preserve">合同当事人对文明施工的要求：承包人必须做好场地清理及相关工作。施工现场的材料堆放要整齐，机械停放有序，做到工完料清，如发包人检查到承包人落实不到位的，则发包人有权按1000元/次计取违约金；遵守环境卫生管理的有关规定，符合清洁卫生要求，承担因自身原因违反有关规定造成的损失和罚款；施工过程中的垃圾须运至指定地点集中堆放，并定期或接到发包人通知后24小时内将所有建筑垃圾从施工场地清除，并运出场外，如发包人检查到承包人落实不到位的，则发包人有权按1000元/次计取违约金；交工前，将所有剩余</w:t>
      </w:r>
      <w:r>
        <w:rPr>
          <w:rFonts w:hint="eastAsia" w:ascii="宋体" w:hAnsi="宋体" w:cs="宋体"/>
          <w:b/>
          <w:bCs/>
          <w:color w:val="000000"/>
          <w:sz w:val="24"/>
          <w:highlight w:val="none"/>
          <w:u w:val="single"/>
        </w:rPr>
        <w:t xml:space="preserve">的建筑材料运走，将所有施工机械和设备从施工场地运走，上述费用包含在合同价中。未能达到上述要求，发包人要求整改后仍不实施的，除计取每次事件的违约金外，发包人有权在竣工结算时扣除承包人安全文明施工履约保证金的50%。若承包人现场施工作业面、办公区、生活区内清洁卫生满足不了文明施工要求，发包人有权安排其它单位或个人打扫，按具体发生的费用2倍及以上从进度款中扣除。承包人必须服从物业管理、发包人现场的统一管理和协调，做到文明施工。施工现场要设立标语、标牌，做到文明施工，树立企业形象，主动接受社会监督和有关部门的管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6.1.6 关于安全文明施工费支付比例和支付期限的约定：</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6.1.9 安全生产责任</w:t>
      </w:r>
      <w:r/>
    </w:p>
    <w:p>
      <w:pPr>
        <w:ind w:firstLine="482"/>
        <w:keepLines w:val="0"/>
        <w:keepNext w:val="0"/>
        <w:pageBreakBefore w:val="0"/>
        <w:spacing w:line="360" w:lineRule="auto"/>
        <w:widowControl w:val="off"/>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w:t>
      </w:r>
      <w:r/>
    </w:p>
    <w:p>
      <w:pPr>
        <w:ind w:firstLine="482"/>
        <w:keepLines w:val="0"/>
        <w:keepNext w:val="0"/>
        <w:pageBreakBefore w:val="0"/>
        <w:spacing w:line="360" w:lineRule="auto"/>
        <w:widowControl w:val="off"/>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若因承包人原因产生不良后果的，由承包人承担一切责任。</w:t>
      </w:r>
      <w:r/>
    </w:p>
    <w:p>
      <w:pPr>
        <w:ind w:firstLine="482"/>
        <w:keepLines w:val="0"/>
        <w:keepNext w:val="0"/>
        <w:pageBreakBefore w:val="0"/>
        <w:spacing w:line="360" w:lineRule="auto"/>
        <w:widowControl w:val="off"/>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7. 工期和进度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 施工组织设计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7.1.1 合同当事人约定的施工组织设计应包括的其他内容：</w:t>
      </w:r>
      <w:r>
        <w:rPr>
          <w:rFonts w:hint="eastAsia" w:ascii="宋体" w:hAnsi="宋体" w:cs="宋体"/>
          <w:b/>
          <w:color w:val="000000"/>
          <w:spacing w:val="-2"/>
          <w:sz w:val="24"/>
          <w:highlight w:val="none"/>
          <w:u w:val="single"/>
        </w:rPr>
        <w:t xml:space="preserve">承包人在开工前必须提交详细的施工组织设计，报发包人及总监审批，施工组织设计经发包人及监理认可后方可开工。施工组织设计将作为工程款支付的参考依据之一</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7.1.2 施工组织设计的提交和修改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承包人提交详细施工组织设计的期限的约定：</w:t>
      </w:r>
      <w:r>
        <w:rPr>
          <w:rFonts w:hint="eastAsia" w:ascii="宋体" w:hAnsi="宋体" w:cs="宋体"/>
          <w:b/>
          <w:color w:val="000000"/>
          <w:spacing w:val="-2"/>
          <w:sz w:val="24"/>
          <w:highlight w:val="none"/>
          <w:u w:val="single"/>
        </w:rPr>
        <w:t xml:space="preserve"> 承包人在开工前三天内必须提交详细的施工组织设计，报发包人及总监审批，施工组织设计经发包人及监理认可后方可开工。施工组织设计将作为工程款支付的参考依据之一。月工程进度应在每月25号前报送监理和发包人。每周四向监理和发包人提供下一周进度计划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发包人和监理人在收到详细的施工组织设计后确认或提出修改意见的期限：</w:t>
      </w:r>
      <w:r>
        <w:rPr>
          <w:rFonts w:hint="eastAsia" w:ascii="宋体" w:hAnsi="宋体" w:cs="宋体"/>
          <w:b/>
          <w:color w:val="000000"/>
          <w:spacing w:val="-2"/>
          <w:sz w:val="24"/>
          <w:highlight w:val="none"/>
          <w:u w:val="single"/>
        </w:rPr>
        <w:t xml:space="preserve">收到上述完整的、符合要求的文件后3个工作日内予以确认或提出修改意见，逾期视为已确认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 施工进度计划</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7.2.2 施工进度计划的修订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发包人和监理人在收到修订的施工进度计划后确认或提出修改意见的期限：</w:t>
      </w:r>
      <w:r>
        <w:rPr>
          <w:rFonts w:hint="eastAsia" w:ascii="宋体" w:hAnsi="宋体" w:cs="宋体"/>
          <w:b/>
          <w:color w:val="000000"/>
          <w:spacing w:val="-2"/>
          <w:sz w:val="24"/>
          <w:highlight w:val="none"/>
          <w:u w:val="single"/>
        </w:rPr>
        <w:t xml:space="preserve">收到施工组织设计（施工方案）和进度计划后3日内予以确认或提出修改意见，逾期视为已确认</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 开工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7.3.1 开工准备</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关于承包人提交工程开工报审表的期限：</w:t>
      </w:r>
      <w:r>
        <w:rPr>
          <w:rFonts w:hint="eastAsia" w:ascii="宋体" w:hAnsi="宋体" w:cs="宋体"/>
          <w:b/>
          <w:color w:val="000000"/>
          <w:sz w:val="24"/>
          <w:highlight w:val="none"/>
          <w:u w:val="single"/>
        </w:rPr>
        <w:t xml:space="preserve">合同签订后3天内</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关于承包人应完成的其他开工准备工作及期限：</w:t>
      </w:r>
      <w:r>
        <w:rPr>
          <w:rFonts w:hint="eastAsia" w:ascii="宋体" w:hAnsi="宋体" w:cs="宋体"/>
          <w:b/>
          <w:color w:val="000000"/>
          <w:sz w:val="24"/>
          <w:highlight w:val="none"/>
          <w:u w:val="single"/>
        </w:rPr>
        <w:t xml:space="preserve">遵守政府有关主管部门对施工场地交通、施工噪音、环境保护和安全生产等的管理规定，按规定办理有关手续，并以书面形式通知发包人。临时施工用电由发包人组织实施。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7.3.2开工通知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因发包人原因造成监理人未能在计划开工日期之日起</w:t>
      </w:r>
      <w:r>
        <w:rPr>
          <w:rFonts w:hint="eastAsia" w:ascii="宋体" w:hAnsi="宋体" w:cs="宋体"/>
          <w:color w:val="000000"/>
          <w:sz w:val="24"/>
          <w:highlight w:val="none"/>
          <w:u w:val="single"/>
        </w:rPr>
        <w:t xml:space="preserve"> 90 </w:t>
      </w:r>
      <w:r>
        <w:rPr>
          <w:rFonts w:hint="eastAsia" w:ascii="宋体" w:hAnsi="宋体" w:cs="宋体"/>
          <w:color w:val="000000"/>
          <w:sz w:val="24"/>
          <w:highlight w:val="none"/>
        </w:rPr>
        <w:t xml:space="preserve">天内发出开工通知的，承包人有权提出价格调整要求，或者解除合同。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7.4 测量放线</w:t>
      </w:r>
      <w:r/>
    </w:p>
    <w:p>
      <w:pPr>
        <w:ind w:firstLine="480"/>
        <w:spacing w:line="360" w:lineRule="auto"/>
        <w:rPr>
          <w:rFonts w:ascii="宋体" w:hAnsi="宋体" w:cs="宋体"/>
          <w:b/>
          <w:color w:val="000000"/>
          <w:sz w:val="24"/>
          <w:highlight w:val="none"/>
          <w:u w:val="single"/>
        </w:rPr>
      </w:pPr>
      <w:r>
        <w:rPr>
          <w:rFonts w:hint="eastAsia" w:ascii="宋体" w:hAnsi="宋体" w:cs="宋体"/>
          <w:color w:val="000000"/>
          <w:sz w:val="24"/>
          <w:highlight w:val="none"/>
        </w:rPr>
        <w:t xml:space="preserve">7.4.1发包人通过监理人向承包人提供测量基准点、基准线和水准点及其书面资料的期限：</w:t>
      </w:r>
      <w:r>
        <w:rPr>
          <w:rFonts w:hint="eastAsia" w:ascii="宋体" w:hAnsi="宋体" w:cs="宋体"/>
          <w:b/>
          <w:color w:val="000000"/>
          <w:sz w:val="24"/>
          <w:highlight w:val="none"/>
          <w:u w:val="single"/>
        </w:rPr>
        <w:t xml:space="preserve">以书面形式交给承包人，并在开工前进行现场交验</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7.5 工期延误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7.5.1 因发包人原因导致工期延误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以下原因引起的延误，经发包人确认后，工期相应顺延：</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A.因发包人未在开工前提供施工场地，提供图纸；</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B.因发包人原因造成工程延期开工、停建、缓建、暂停施工（不含勒令停工）；</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C.因发包人原因提出的单次设计变更导致工程量增加超过合同总价的8%以上的；</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D.由市级以上有关部门正式发布和认定的自然灾害。</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上述情况发生后3天内，承包人需就延误的内容对工程进度造成的影响，向发包人提交书面报告，办理延期手续（须得到甲方代表签字的书面认可），经发包人批准后方可顺延工期，否则工期不予顺延。</w:t>
      </w:r>
      <w:r/>
    </w:p>
    <w:p>
      <w:pPr>
        <w:ind w:firstLine="482"/>
        <w:keepLines/>
        <w:keepNext/>
        <w:spacing w:line="360" w:lineRule="auto"/>
        <w:rPr>
          <w:rFonts w:ascii="宋体" w:hAnsi="宋体" w:cs="宋体"/>
          <w:b/>
          <w:color w:val="000000"/>
          <w:sz w:val="24"/>
          <w:highlight w:val="none"/>
        </w:rPr>
        <w:outlineLvl w:val="3"/>
      </w:pPr>
      <w:r>
        <w:rPr>
          <w:rFonts w:hint="eastAsia" w:ascii="宋体" w:hAnsi="宋体" w:cs="宋体"/>
          <w:b/>
          <w:bCs/>
          <w:color w:val="000000"/>
          <w:sz w:val="24"/>
          <w:highlight w:val="none"/>
          <w:u w:val="single"/>
        </w:rPr>
        <w:t xml:space="preserve">因发包人原因导致工期延误，不论工期是否顺延，承包人不得向发包人主张相应的误工、窝工等费用赔偿。</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w:t>
      </w:r>
      <w:bookmarkStart w:id="70" w:name="_Toc318581169"/>
      <w:r/>
      <w:bookmarkStart w:id="71" w:name="_Toc312678012"/>
      <w:r/>
      <w:bookmarkStart w:id="72" w:name="_Toc312677486"/>
      <w:r/>
      <w:bookmarkStart w:id="73" w:name="_Toc304295548"/>
      <w:r/>
      <w:bookmarkStart w:id="74" w:name="_Toc297123518"/>
      <w:r/>
      <w:bookmarkStart w:id="75" w:name="_Toc300934970"/>
      <w:r/>
      <w:bookmarkStart w:id="76" w:name="_Toc303539127"/>
      <w:r/>
      <w:bookmarkStart w:id="77" w:name="_Toc297216177"/>
      <w:r>
        <w:rPr>
          <w:rFonts w:hint="eastAsia" w:ascii="宋体" w:hAnsi="宋体" w:cs="宋体"/>
          <w:color w:val="000000"/>
          <w:sz w:val="24"/>
          <w:highlight w:val="none"/>
        </w:rPr>
        <w:t xml:space="preserve">.5.2 因承包人原因导致工期延误</w:t>
      </w:r>
      <w:bookmarkEnd w:id="70"/>
      <w:bookmarkEnd w:id="71"/>
      <w:bookmarkEnd w:id="72"/>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因</w:t>
      </w:r>
      <w:bookmarkStart w:id="78" w:name="_Toc318581170"/>
      <w:r/>
      <w:bookmarkStart w:id="79" w:name="_Toc312678013"/>
      <w:r/>
      <w:bookmarkStart w:id="80" w:name="_Toc312677487"/>
      <w:r>
        <w:rPr>
          <w:rFonts w:hint="eastAsia" w:ascii="宋体" w:hAnsi="宋体" w:cs="宋体"/>
          <w:color w:val="000000"/>
          <w:sz w:val="24"/>
          <w:highlight w:val="none"/>
        </w:rPr>
        <w:t xml:space="preserve">承包人原因造成工期延误，逾期竣工违约金的计算方法为：</w:t>
      </w:r>
      <w:bookmarkEnd w:id="73"/>
      <w:r/>
      <w:bookmarkEnd w:id="74"/>
      <w:r/>
      <w:bookmarkEnd w:id="75"/>
      <w:r/>
      <w:bookmarkEnd w:id="76"/>
      <w:r/>
      <w:bookmarkEnd w:id="77"/>
      <w:r/>
      <w:bookmarkEnd w:id="78"/>
      <w:r/>
      <w:bookmarkEnd w:id="79"/>
      <w:r/>
      <w:bookmarkEnd w:id="80"/>
      <w:r>
        <w:rPr>
          <w:rFonts w:hint="eastAsia" w:ascii="宋体" w:hAnsi="宋体" w:cs="宋体"/>
          <w:b/>
          <w:bCs/>
          <w:color w:val="000000"/>
          <w:sz w:val="24"/>
          <w:highlight w:val="none"/>
          <w:u w:val="single"/>
        </w:rPr>
        <w:t xml:space="preserve">因承包人原因延误工期，在规定的工期或阶段工期前未能完成，按1000元/天的违约金进行收取并在当期工程款支付中扣除，直至全部履约保证金被扣除。结算时若有人工调整的，延误期人工不予调整。若全部履约保证金被扣除外，发包人有权要求承包人清退出场，所完成的合格工程量按60%计算，其他按通用条款中约定内容执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w:t>
      </w:r>
      <w:bookmarkStart w:id="81" w:name="_Toc303539128"/>
      <w:r/>
      <w:bookmarkStart w:id="82" w:name="_Toc297216178"/>
      <w:r/>
      <w:bookmarkStart w:id="83" w:name="_Toc297123519"/>
      <w:r/>
      <w:bookmarkStart w:id="84" w:name="_Toc304295549"/>
      <w:r/>
      <w:bookmarkStart w:id="85" w:name="_Toc300934971"/>
      <w:r/>
      <w:bookmarkStart w:id="86" w:name="_Toc312678015"/>
      <w:r>
        <w:rPr>
          <w:rFonts w:hint="eastAsia" w:ascii="宋体" w:hAnsi="宋体" w:cs="宋体"/>
          <w:color w:val="000000"/>
          <w:sz w:val="24"/>
          <w:highlight w:val="none"/>
        </w:rPr>
        <w:t xml:space="preserve">.6 不</w:t>
      </w:r>
      <w:bookmarkEnd w:id="81"/>
      <w:r/>
      <w:bookmarkEnd w:id="82"/>
      <w:r/>
      <w:bookmarkEnd w:id="83"/>
      <w:r/>
      <w:bookmarkEnd w:id="84"/>
      <w:r/>
      <w:bookmarkEnd w:id="85"/>
      <w:r/>
      <w:bookmarkEnd w:id="86"/>
      <w:r>
        <w:rPr>
          <w:rFonts w:hint="eastAsia" w:ascii="宋体" w:hAnsi="宋体" w:cs="宋体"/>
          <w:color w:val="000000"/>
          <w:sz w:val="24"/>
          <w:highlight w:val="none"/>
        </w:rPr>
        <w:t xml:space="preserve">利物质条件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不利物质条件的其他情形和有关约定：</w:t>
      </w:r>
      <w:r>
        <w:rPr>
          <w:rFonts w:hint="eastAsia" w:ascii="宋体" w:hAnsi="宋体" w:cs="宋体"/>
          <w:b/>
          <w:bCs/>
          <w:color w:val="000000"/>
          <w:sz w:val="24"/>
          <w:highlight w:val="none"/>
          <w:u w:val="single"/>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8. 材料与设备</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 8.1发包人供应材料与工程设备：</w:t>
      </w:r>
      <w:r>
        <w:rPr>
          <w:rFonts w:hint="eastAsia" w:ascii="宋体" w:hAnsi="宋体" w:cs="宋体"/>
          <w:color w:val="000000"/>
          <w:sz w:val="24"/>
          <w:highlight w:val="none"/>
          <w:u w:val="single"/>
        </w:rPr>
        <w:t xml:space="preserve">无。如有时，承包人应编制材料供应计划。合同生效后一般材料承包人应提前15天向发包人按实提交所需材料品种、数量、型号、规格、质量等级，如有误差造成的损失由承包人承担。</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发包人供应材料设备的结算方法：</w:t>
      </w:r>
      <w:r>
        <w:rPr>
          <w:rFonts w:hint="eastAsia" w:ascii="宋体" w:hAnsi="宋体" w:cs="宋体"/>
          <w:color w:val="000000"/>
          <w:sz w:val="24"/>
          <w:highlight w:val="none"/>
          <w:u w:val="single"/>
        </w:rPr>
        <w:t xml:space="preserve">无。如有时，按结算审计的甲供材料数量乘以招标时规定的暂定价扣除工程款，承包人超领部分，按发包人采购最高价结算，发包人在竣工决算时扣回；承包人领用不足部分，按发包人采购综合平均价结算，发包人在竣工决算时考虑对承包人予以一定增补。</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8.2承包人供应材料与工程设备</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1）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r/>
    </w:p>
    <w:p>
      <w:pPr>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承包人供应的材料和设备，必须按有关规定提供相应的出厂证明、合格证、质保书、化验检测报告等，并负责对国家（或地方）规范、强制性条文规定的材料性能到发包人指定的检测机构进行施工前或施工后的检测，同时对材料数量、规格、质量由发包人现场工程师和监理人验收合格后方可进入施工现场使用。检验试验费包含本工程所有按规定应进行建筑材料、构配件等试样的制作、封样、送检和其它为保证工程质量进行的材料检验试验工作和费用（仅限建筑材料、构配件一次复试合格的情形）。</w:t>
      </w:r>
      <w:r/>
    </w:p>
    <w:p>
      <w:pPr>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（3）本工程所有材料全部由</w:t>
      </w:r>
      <w:r>
        <w:rPr>
          <w:rFonts w:hint="eastAsia" w:ascii="宋体" w:hAnsi="宋体" w:cs="宋体"/>
          <w:color w:val="000000"/>
          <w:sz w:val="24"/>
          <w:highlight w:val="none"/>
          <w:u w:val="single"/>
          <w:lang w:eastAsia="zh-CN"/>
        </w:rPr>
        <w:t xml:space="preserve">承包人</w:t>
      </w:r>
      <w:r>
        <w:rPr>
          <w:rFonts w:hint="eastAsia" w:ascii="宋体" w:hAnsi="宋体" w:cs="宋体"/>
          <w:color w:val="000000"/>
          <w:sz w:val="24"/>
          <w:highlight w:val="none"/>
          <w:u w:val="single"/>
        </w:rPr>
        <w:t xml:space="preserve">负责采购，</w:t>
      </w:r>
      <w:r>
        <w:rPr>
          <w:rFonts w:hint="eastAsia" w:ascii="宋体" w:hAnsi="宋体" w:cs="宋体"/>
          <w:color w:val="000000"/>
          <w:sz w:val="24"/>
          <w:highlight w:val="none"/>
          <w:u w:val="single"/>
          <w:lang w:eastAsia="zh-CN"/>
        </w:rPr>
        <w:t xml:space="preserve">主要材料按照施工图纸中的选材表，且</w:t>
      </w:r>
      <w:r>
        <w:rPr>
          <w:rFonts w:hint="eastAsia" w:ascii="宋体" w:hAnsi="宋体" w:cs="宋体"/>
          <w:color w:val="000000"/>
          <w:sz w:val="24"/>
          <w:highlight w:val="none"/>
          <w:u w:val="single"/>
        </w:rPr>
        <w:t xml:space="preserve">厂家、品名、型号、规格、颜色、花纹、材质等必须经</w:t>
      </w:r>
      <w:r>
        <w:rPr>
          <w:rFonts w:hint="eastAsia" w:ascii="宋体" w:hAnsi="宋体" w:cs="宋体"/>
          <w:color w:val="000000"/>
          <w:sz w:val="24"/>
          <w:highlight w:val="none"/>
          <w:u w:val="single"/>
          <w:lang w:eastAsia="zh-CN"/>
        </w:rPr>
        <w:t xml:space="preserve">发包人</w:t>
      </w:r>
      <w:r>
        <w:rPr>
          <w:rFonts w:hint="eastAsia" w:ascii="宋体" w:hAnsi="宋体" w:cs="宋体"/>
          <w:color w:val="000000"/>
          <w:sz w:val="24"/>
          <w:highlight w:val="none"/>
          <w:u w:val="single"/>
        </w:rPr>
        <w:t xml:space="preserve">及监理书面认可确认后方可进场。固定家具需工厂定制，工厂、环保型材料、样式及厂家</w:t>
      </w:r>
      <w:r>
        <w:rPr>
          <w:rFonts w:hint="eastAsia" w:ascii="宋体" w:hAnsi="宋体" w:cs="宋体"/>
          <w:color w:val="000000"/>
          <w:sz w:val="24"/>
          <w:highlight w:val="none"/>
          <w:u w:val="single"/>
          <w:lang w:eastAsia="zh-CN"/>
        </w:rPr>
        <w:t xml:space="preserve">须发包人</w:t>
      </w:r>
      <w:r>
        <w:rPr>
          <w:rFonts w:hint="eastAsia" w:ascii="宋体" w:hAnsi="宋体" w:cs="宋体"/>
          <w:color w:val="000000"/>
          <w:sz w:val="24"/>
          <w:highlight w:val="none"/>
          <w:u w:val="single"/>
        </w:rPr>
        <w:t xml:space="preserve">、设计认可</w:t>
      </w:r>
      <w:r>
        <w:rPr>
          <w:rFonts w:hint="eastAsia" w:ascii="宋体" w:hAnsi="宋体" w:cs="宋体"/>
          <w:color w:val="000000"/>
          <w:sz w:val="24"/>
          <w:highlight w:val="none"/>
          <w:u w:val="single"/>
          <w:lang w:eastAsia="zh-CN"/>
        </w:rPr>
        <w:t xml:space="preserve">，其余材料的选</w:t>
      </w:r>
      <w:r>
        <w:rPr>
          <w:rFonts w:hint="eastAsia" w:ascii="宋体" w:hAnsi="宋体" w:cs="宋体"/>
          <w:color w:val="000000"/>
          <w:sz w:val="24"/>
          <w:highlight w:val="none"/>
          <w:u w:val="single"/>
        </w:rPr>
        <w:t xml:space="preserve">用</w:t>
      </w:r>
      <w:r>
        <w:rPr>
          <w:rFonts w:hint="eastAsia" w:ascii="宋体" w:hAnsi="宋体" w:cs="宋体"/>
          <w:color w:val="000000"/>
          <w:sz w:val="24"/>
          <w:highlight w:val="none"/>
          <w:u w:val="single"/>
          <w:lang w:eastAsia="zh-CN"/>
        </w:rPr>
        <w:t xml:space="preserve">按</w:t>
      </w:r>
      <w:r>
        <w:rPr>
          <w:rFonts w:hint="eastAsia" w:ascii="宋体" w:hAnsi="宋体" w:cs="宋体"/>
          <w:color w:val="000000"/>
          <w:sz w:val="24"/>
          <w:highlight w:val="none"/>
          <w:u w:val="single"/>
        </w:rPr>
        <w:t xml:space="preserve">国产中档及以上且符合国家标准的合格产品</w:t>
      </w:r>
      <w:r>
        <w:rPr>
          <w:rFonts w:hint="eastAsia" w:ascii="宋体" w:hAnsi="宋体" w:cs="宋体"/>
          <w:color w:val="000000"/>
          <w:sz w:val="24"/>
          <w:highlight w:val="none"/>
          <w:u w:val="single"/>
          <w:lang w:eastAsia="zh-CN"/>
        </w:rPr>
        <w:t xml:space="preserve">报价。承包人已</w:t>
      </w:r>
      <w:r>
        <w:rPr>
          <w:rFonts w:hint="eastAsia" w:ascii="宋体" w:hAnsi="宋体" w:cs="宋体"/>
          <w:color w:val="000000"/>
          <w:sz w:val="24"/>
          <w:highlight w:val="none"/>
          <w:u w:val="single"/>
        </w:rPr>
        <w:t xml:space="preserve">充分考虑市场价格风险，一旦成交，材料价格不作调整。在实际施工中，</w:t>
      </w:r>
      <w:r>
        <w:rPr>
          <w:rFonts w:hint="eastAsia" w:ascii="宋体" w:hAnsi="宋体" w:cs="宋体"/>
          <w:color w:val="000000"/>
          <w:sz w:val="24"/>
          <w:highlight w:val="none"/>
          <w:u w:val="single"/>
          <w:lang w:eastAsia="zh-CN"/>
        </w:rPr>
        <w:t xml:space="preserve">承包人</w:t>
      </w:r>
      <w:r>
        <w:rPr>
          <w:rFonts w:hint="eastAsia" w:ascii="宋体" w:hAnsi="宋体" w:cs="宋体"/>
          <w:color w:val="000000"/>
          <w:sz w:val="24"/>
          <w:highlight w:val="none"/>
          <w:u w:val="single"/>
        </w:rPr>
        <w:t xml:space="preserve">必须提供样品报</w:t>
      </w:r>
      <w:r>
        <w:rPr>
          <w:rFonts w:hint="eastAsia" w:ascii="宋体" w:hAnsi="宋体" w:cs="宋体"/>
          <w:color w:val="000000"/>
          <w:sz w:val="24"/>
          <w:highlight w:val="none"/>
          <w:u w:val="single"/>
          <w:lang w:eastAsia="zh-CN"/>
        </w:rPr>
        <w:t xml:space="preserve">发包人</w:t>
      </w:r>
      <w:r>
        <w:rPr>
          <w:rFonts w:hint="eastAsia" w:ascii="宋体" w:hAnsi="宋体" w:cs="宋体"/>
          <w:color w:val="000000"/>
          <w:sz w:val="24"/>
          <w:highlight w:val="none"/>
          <w:u w:val="single"/>
        </w:rPr>
        <w:t xml:space="preserve">、监理书面认可，否则，</w:t>
      </w:r>
      <w:r>
        <w:rPr>
          <w:rFonts w:hint="eastAsia" w:ascii="宋体" w:hAnsi="宋体" w:cs="宋体"/>
          <w:color w:val="000000"/>
          <w:sz w:val="24"/>
          <w:highlight w:val="none"/>
          <w:u w:val="single"/>
          <w:lang w:eastAsia="zh-CN"/>
        </w:rPr>
        <w:t xml:space="preserve">发包人</w:t>
      </w:r>
      <w:r>
        <w:rPr>
          <w:rFonts w:hint="eastAsia" w:ascii="宋体" w:hAnsi="宋体" w:cs="宋体"/>
          <w:color w:val="000000"/>
          <w:sz w:val="24"/>
          <w:highlight w:val="none"/>
          <w:u w:val="single"/>
        </w:rPr>
        <w:t xml:space="preserve">可以要求</w:t>
      </w:r>
      <w:r>
        <w:rPr>
          <w:rFonts w:hint="eastAsia" w:ascii="宋体" w:hAnsi="宋体" w:cs="宋体"/>
          <w:color w:val="000000"/>
          <w:sz w:val="24"/>
          <w:highlight w:val="none"/>
          <w:u w:val="single"/>
          <w:lang w:eastAsia="zh-CN"/>
        </w:rPr>
        <w:t xml:space="preserve">承包人</w:t>
      </w:r>
      <w:r>
        <w:rPr>
          <w:rFonts w:hint="eastAsia" w:ascii="宋体" w:hAnsi="宋体" w:cs="宋体"/>
          <w:color w:val="000000"/>
          <w:sz w:val="24"/>
          <w:highlight w:val="none"/>
          <w:u w:val="single"/>
        </w:rPr>
        <w:t xml:space="preserve">无条件更换不符合要求的产品，购进的材料设备与提供的样品不一致时，由承包人无条件退货，如因使用不符合国家标准及各项指标的材料，由此引起的相关费用由承包人承担，结算时一律不作调整。乙供材料无特殊情况时，应由</w:t>
      </w:r>
      <w:r>
        <w:rPr>
          <w:rFonts w:hint="eastAsia" w:ascii="宋体" w:hAnsi="宋体" w:cs="宋体"/>
          <w:color w:val="000000"/>
          <w:sz w:val="24"/>
          <w:highlight w:val="none"/>
          <w:u w:val="single"/>
          <w:lang w:eastAsia="zh-CN"/>
        </w:rPr>
        <w:t xml:space="preserve">承包人</w:t>
      </w:r>
      <w:r>
        <w:rPr>
          <w:rFonts w:hint="eastAsia" w:ascii="宋体" w:hAnsi="宋体" w:cs="宋体"/>
          <w:color w:val="000000"/>
          <w:sz w:val="24"/>
          <w:highlight w:val="none"/>
          <w:u w:val="single"/>
        </w:rPr>
        <w:t xml:space="preserve">采购。因</w:t>
      </w:r>
      <w:r>
        <w:rPr>
          <w:rFonts w:hint="eastAsia" w:ascii="宋体" w:hAnsi="宋体" w:cs="宋体"/>
          <w:color w:val="000000"/>
          <w:sz w:val="24"/>
          <w:highlight w:val="none"/>
          <w:u w:val="single"/>
          <w:lang w:eastAsia="zh-CN"/>
        </w:rPr>
        <w:t xml:space="preserve">承包人</w:t>
      </w:r>
      <w:r>
        <w:rPr>
          <w:rFonts w:hint="eastAsia" w:ascii="宋体" w:hAnsi="宋体" w:cs="宋体"/>
          <w:color w:val="000000"/>
          <w:sz w:val="24"/>
          <w:highlight w:val="none"/>
          <w:u w:val="single"/>
        </w:rPr>
        <w:t xml:space="preserve">原因所采购材料等无法满足</w:t>
      </w:r>
      <w:r>
        <w:rPr>
          <w:rFonts w:hint="eastAsia" w:ascii="宋体" w:hAnsi="宋体" w:cs="宋体"/>
          <w:color w:val="000000"/>
          <w:sz w:val="24"/>
          <w:highlight w:val="none"/>
          <w:u w:val="single"/>
          <w:lang w:eastAsia="zh-CN"/>
        </w:rPr>
        <w:t xml:space="preserve">发包人</w:t>
      </w:r>
      <w:r>
        <w:rPr>
          <w:rFonts w:hint="eastAsia" w:ascii="宋体" w:hAnsi="宋体" w:cs="宋体"/>
          <w:color w:val="000000"/>
          <w:sz w:val="24"/>
          <w:highlight w:val="none"/>
          <w:u w:val="single"/>
        </w:rPr>
        <w:t xml:space="preserve">要求时，</w:t>
      </w:r>
      <w:r>
        <w:rPr>
          <w:rFonts w:hint="eastAsia" w:ascii="宋体" w:hAnsi="宋体" w:cs="宋体"/>
          <w:color w:val="000000"/>
          <w:sz w:val="24"/>
          <w:highlight w:val="none"/>
          <w:u w:val="single"/>
          <w:lang w:eastAsia="zh-CN"/>
        </w:rPr>
        <w:t xml:space="preserve">发包人</w:t>
      </w:r>
      <w:r>
        <w:rPr>
          <w:rFonts w:hint="eastAsia" w:ascii="宋体" w:hAnsi="宋体" w:cs="宋体"/>
          <w:color w:val="000000"/>
          <w:sz w:val="24"/>
          <w:highlight w:val="none"/>
          <w:u w:val="single"/>
        </w:rPr>
        <w:t xml:space="preserve">有权在控制价范围内采购并计取管理费，所产生的费用均由</w:t>
      </w:r>
      <w:r>
        <w:rPr>
          <w:rFonts w:hint="eastAsia" w:ascii="宋体" w:hAnsi="宋体" w:cs="宋体"/>
          <w:color w:val="000000"/>
          <w:sz w:val="24"/>
          <w:highlight w:val="none"/>
          <w:u w:val="single"/>
          <w:lang w:eastAsia="zh-CN"/>
        </w:rPr>
        <w:t xml:space="preserve">承包人</w:t>
      </w:r>
      <w:r>
        <w:rPr>
          <w:rFonts w:hint="eastAsia" w:ascii="宋体" w:hAnsi="宋体" w:cs="宋体"/>
          <w:color w:val="000000"/>
          <w:sz w:val="24"/>
          <w:highlight w:val="none"/>
          <w:u w:val="single"/>
        </w:rPr>
        <w:t xml:space="preserve">承担。</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发包人和监理人有权对承包人提供的材料和设备进行抽检，对不符合设计要求及验收规范的材料和设备，发包人有权终止使用；当现场抽检材料和设备与留样不一致时，视作不合格，发包人有权终止使用，发生的一切损失和费用由承包人承担，由此延误的工期不予顺延。</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5）发包人和监理工程师对材料的决定或认可并不解除承包人应负的质量、工期的责任，也不免除承包人对材料应负的责任。承包人采购的材料与设计或规范要求不符时，承包人应按监理工程师要求的时间内作退场处理。重新采购符合要求的产品，承担由此发生的费用，由此延误的工期不予顺延。</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（6）招标时暂估价和认质认价材料发包人保留甲供或另行发包权利。</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7）承包人对专业分包单位采购的材料，承包人应该对各种材料、器材、设备按规范进行检查，拒绝使用不符合要求的材料、器材、设备。无论何种原因，承包人或其专业分包单位在工程中使用不合格材料的，经发包人或者行政主管部门查证属实的，发包人有权收取违约金，详见16.2.2承包人违约的责任。</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8）承包人应对所有进场材料按有关规定进行严格把关，如因材料出现的质量和安全事故由承包人负全责，并赔偿相应损失。设计图纸没有规定的或图纸规定与清单不符的，经发包人和监理方确认对图纸或清单进行确认后方可施工。</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（9）材料质量必须严格按照国家规范及江苏省、南通市相应地方规范、招标文件、材料厂家的技术规范的有关要求执行。</w:t>
      </w:r>
      <w:r/>
    </w:p>
    <w:p>
      <w:pPr>
        <w:ind w:firstLine="480"/>
        <w:spacing w:line="360" w:lineRule="auto"/>
        <w:rPr>
          <w:color w:val="000000"/>
          <w:sz w:val="24"/>
          <w:szCs w:val="32"/>
          <w:highlight w:val="none"/>
        </w:rPr>
      </w:pPr>
      <w:r>
        <w:rPr>
          <w:rFonts w:hint="eastAsia" w:ascii="宋体" w:hAnsi="宋体" w:cs="宋体"/>
          <w:color w:val="000000"/>
          <w:sz w:val="24"/>
          <w:highlight w:val="none"/>
          <w:u w:val="single"/>
        </w:rPr>
        <w:t xml:space="preserve">（10）由承包人负责采购的材料、设备，由承包人和相关供应商签订供货合同，并承担全部责任。采购的材料（设备）厂家、品名、型号、规格、颜色、花纹、材质等必须经发包人及监理书面认可确认后方可进场。需送检的材料（设备）必须到招标人认可的质检部门检验或试验合格后方可使用。检验或试验合格的，检验或试验费用由发包人承担；检验或试验不合格的，检验或试验费用由承包人承担。无论何种原因，承包人在工程中使用不合格材料，除更换合格材料外，质量履约保证金不予退还，另向发包人支付5000元/次的违约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8.4材料与工程设备的保管与使用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w:t>
      </w:r>
      <w:bookmarkStart w:id="87" w:name="_Toc292559373"/>
      <w:r/>
      <w:bookmarkStart w:id="88" w:name="_Toc292559878"/>
      <w:r>
        <w:rPr>
          <w:rFonts w:hint="eastAsia" w:ascii="宋体" w:hAnsi="宋体" w:cs="宋体"/>
          <w:color w:val="000000"/>
          <w:sz w:val="24"/>
          <w:highlight w:val="none"/>
        </w:rPr>
        <w:t xml:space="preserve">.4.1发包人供应的材料设备的保管费用的承担：</w:t>
      </w:r>
      <w:r>
        <w:rPr>
          <w:rFonts w:hint="eastAsia" w:ascii="宋体" w:hAnsi="宋体" w:cs="宋体"/>
          <w:b/>
          <w:color w:val="000000"/>
          <w:sz w:val="24"/>
          <w:highlight w:val="none"/>
          <w:u w:val="single"/>
        </w:rPr>
        <w:t xml:space="preserve">如有，含在合同价中 </w:t>
      </w:r>
      <w:r>
        <w:rPr>
          <w:rFonts w:hint="eastAsia" w:ascii="宋体" w:hAnsi="宋体" w:cs="宋体"/>
          <w:color w:val="000000"/>
          <w:sz w:val="24"/>
          <w:highlight w:val="none"/>
        </w:rPr>
        <w:t xml:space="preserve">。</w:t>
      </w:r>
      <w:bookmarkEnd w:id="87"/>
      <w:r/>
      <w:bookmarkEnd w:id="88"/>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8.6样品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8.6.1样品的报送与封存</w:t>
      </w:r>
      <w:r/>
    </w:p>
    <w:p>
      <w:pPr>
        <w:ind w:firstLine="480"/>
        <w:spacing w:line="360" w:lineRule="auto"/>
        <w:rPr>
          <w:rFonts w:ascii="宋体" w:hAnsi="宋体" w:cs="宋体"/>
          <w:b/>
          <w:color w:val="000000"/>
          <w:sz w:val="24"/>
          <w:highlight w:val="none"/>
          <w:u w:val="single"/>
        </w:rPr>
      </w:pPr>
      <w:r>
        <w:rPr>
          <w:rFonts w:hint="eastAsia" w:ascii="宋体" w:hAnsi="宋体" w:cs="宋体"/>
          <w:color w:val="000000"/>
          <w:sz w:val="24"/>
          <w:highlight w:val="none"/>
        </w:rPr>
        <w:t xml:space="preserve">需要承包人报送样品的材料或工程设备，样品的种类、名称、规格、数量要求：</w:t>
      </w:r>
      <w:r>
        <w:rPr>
          <w:rFonts w:hint="eastAsia" w:ascii="宋体" w:hAnsi="宋体" w:cs="宋体"/>
          <w:color w:val="000000"/>
          <w:sz w:val="24"/>
          <w:highlight w:val="none"/>
          <w:u w:val="single"/>
        </w:rPr>
        <w:t xml:space="preserve">按管理部门要求和发包人需求确定</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8.8 施工设备和临时设施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8.8.1 承包人提供的施工设备和临时设施</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关于修建临时设施费用承担的约定：</w:t>
      </w:r>
      <w:r>
        <w:rPr>
          <w:rFonts w:hint="eastAsia" w:ascii="宋体" w:hAnsi="宋体" w:cs="宋体"/>
          <w:b/>
          <w:color w:val="000000"/>
          <w:sz w:val="24"/>
          <w:highlight w:val="none"/>
          <w:u w:val="single"/>
        </w:rPr>
        <w:t xml:space="preserve">由承包人承担  </w:t>
      </w:r>
      <w:r/>
    </w:p>
    <w:p>
      <w:pPr>
        <w:ind w:firstLine="482"/>
        <w:keepLines w:val="0"/>
        <w:keepNext w:val="0"/>
        <w:pageBreakBefore w:val="0"/>
        <w:spacing w:line="360" w:lineRule="auto"/>
        <w:widowControl w:val="off"/>
        <w:rPr>
          <w:rFonts w:ascii="宋体" w:hAnsi="宋体" w:cs="宋体"/>
          <w:bCs/>
          <w:sz w:val="24"/>
          <w:highlight w:val="none"/>
        </w:rPr>
      </w:pPr>
      <w:r>
        <w:rPr>
          <w:rFonts w:hint="eastAsia" w:ascii="宋体" w:hAnsi="宋体" w:cs="宋体"/>
          <w:b/>
          <w:bCs/>
          <w:sz w:val="24"/>
          <w:highlight w:val="none"/>
        </w:rPr>
        <w:t xml:space="preserve">9. 试验与检验</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9.1试验设备与试验人员</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9.1.2 试验设备</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施工现场需要配置的试验场所：</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按有关规定执行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施工现场需要配备的试验设备：</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按有关规定执行</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u w:val="single"/>
        </w:rPr>
      </w:pPr>
      <w:r>
        <w:rPr>
          <w:rFonts w:hint="eastAsia" w:ascii="宋体" w:hAnsi="宋体" w:cs="宋体"/>
          <w:bCs/>
          <w:sz w:val="24"/>
          <w:highlight w:val="none"/>
        </w:rPr>
        <w:t xml:space="preserve">施工现场需要具备的其他试验条件：</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按有关规定执行</w:t>
      </w:r>
      <w:r>
        <w:rPr>
          <w:rFonts w:hint="eastAsia" w:ascii="宋体" w:hAnsi="宋体" w:cs="宋体"/>
          <w:bCs/>
          <w:sz w:val="24"/>
          <w:highlight w:val="none"/>
          <w:u w:val="single"/>
        </w:rPr>
        <w:t xml:space="preserve"> 。  </w:t>
      </w:r>
      <w:r/>
    </w:p>
    <w:p>
      <w:pPr>
        <w:ind w:firstLine="480"/>
        <w:keepLines w:val="0"/>
        <w:keepNext w:val="0"/>
        <w:pageBreakBefore w:val="0"/>
        <w:spacing w:line="360" w:lineRule="auto"/>
        <w:widowControl w:val="off"/>
        <w:rPr>
          <w:rFonts w:ascii="宋体" w:hAnsi="宋体" w:cs="宋体"/>
          <w:bCs/>
          <w:sz w:val="24"/>
          <w:highlight w:val="none"/>
          <w:u w:val="single"/>
        </w:rPr>
      </w:pPr>
      <w:r>
        <w:rPr>
          <w:rFonts w:hint="eastAsia" w:ascii="宋体" w:hAnsi="宋体" w:cs="宋体"/>
          <w:bCs/>
          <w:sz w:val="24"/>
          <w:highlight w:val="none"/>
        </w:rPr>
        <w:t xml:space="preserve">9.4 现场工艺试验 </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现场工艺试验的有关约定：</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rPr>
        <w:t xml:space="preserve">10. 变更</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10.1变更的范围</w:t>
      </w:r>
      <w:r/>
    </w:p>
    <w:p>
      <w:pPr>
        <w:ind w:firstLine="480"/>
        <w:keepLines w:val="0"/>
        <w:keepNext w:val="0"/>
        <w:pageBreakBefore w:val="0"/>
        <w:spacing w:line="360" w:lineRule="auto"/>
        <w:widowControl w:val="off"/>
        <w:rPr>
          <w:rFonts w:ascii="宋体" w:hAnsi="宋体" w:cs="宋体"/>
          <w:b/>
          <w:bCs/>
          <w:sz w:val="24"/>
          <w:highlight w:val="none"/>
        </w:rPr>
      </w:pPr>
      <w:r>
        <w:rPr>
          <w:rFonts w:hint="eastAsia" w:ascii="宋体" w:hAnsi="宋体" w:cs="宋体"/>
          <w:bCs/>
          <w:sz w:val="24"/>
          <w:highlight w:val="none"/>
        </w:rPr>
        <w:t xml:space="preserve">关于变更的范围的约定：</w:t>
      </w:r>
      <w:r>
        <w:rPr>
          <w:rFonts w:hint="eastAsia" w:ascii="宋体" w:hAnsi="宋体" w:cs="宋体"/>
          <w:b/>
          <w:bCs/>
          <w:sz w:val="24"/>
          <w:highlight w:val="none"/>
          <w:u w:val="single"/>
        </w:rPr>
        <w:t xml:space="preserve">按通用条款约定。</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10.2变更权</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监理单位、承包人、设计单位根据工程需要提出工程变更，需由发包人技术组组织审核其必要性、技术性、可行性、经济性等。设计单位出具变更通知单或变更图纸应经发包人审核同意签字盖章后，方可按工程变更实施。</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承包人不得随意更改设计，因承包人自身原因导致的工程变更，承包人无权要求追加合同价款。</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如承包人擅自变更，发包人有权对其进行违约金处理，视情节严重每次处以1万～</w:t>
      </w:r>
      <w:r>
        <w:rPr>
          <w:rFonts w:ascii="宋体" w:hAnsi="宋体" w:cs="宋体"/>
          <w:b/>
          <w:bCs/>
          <w:sz w:val="24"/>
          <w:highlight w:val="none"/>
          <w:u w:val="single"/>
        </w:rPr>
        <w:t xml:space="preserve">5</w:t>
      </w:r>
      <w:r>
        <w:rPr>
          <w:rFonts w:hint="eastAsia" w:ascii="宋体" w:hAnsi="宋体" w:cs="宋体"/>
          <w:b/>
          <w:bCs/>
          <w:sz w:val="24"/>
          <w:highlight w:val="none"/>
          <w:u w:val="single"/>
        </w:rPr>
        <w:t xml:space="preserve">万元的违约金处理。</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10.3变更程序</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设计变更、签证资料必须及时经发包人、监理单位书面确认，隐蔽性工程的变更签证要在3日内办理完。承包人在工程变更确定后14天内，提出变更工程价款的报告，经监理工程师签证，发包人批准后方可进行10.4 变更估价。</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合同履约中，双方填制的变更、签证通知单以及办理相关手续，都应严格按照发包人的内部工作管理制度执行，按顺序进行统一分类编号，并附有相应的真实图片及发生的费用，否则发包人可以不予审核。</w:t>
      </w:r>
      <w:r/>
    </w:p>
    <w:p>
      <w:pPr>
        <w:ind w:firstLine="482"/>
        <w:keepLines w:val="0"/>
        <w:keepNext w:val="0"/>
        <w:pageBreakBefore w:val="0"/>
        <w:spacing w:line="360" w:lineRule="auto"/>
        <w:widowControl w:val="off"/>
        <w:rPr>
          <w:rFonts w:ascii="宋体" w:hAnsi="宋体" w:cs="宋体"/>
          <w:bCs/>
          <w:sz w:val="24"/>
          <w:highlight w:val="none"/>
        </w:rPr>
      </w:pPr>
      <w:r>
        <w:rPr>
          <w:rFonts w:hint="eastAsia" w:ascii="宋体" w:hAnsi="宋体" w:cs="宋体"/>
          <w:b/>
          <w:bCs/>
          <w:sz w:val="24"/>
          <w:highlight w:val="none"/>
          <w:u w:val="single"/>
        </w:rPr>
        <w:t xml:space="preserve">承包人作为有经验的承包商，对工程技术及施工图纸中的问题应提前发现，并在图纸会审时或以技术核定单的形式及时提出；如果承包人由于各种原因不提出或未及时提出而导致工程产生的质量、进度、安全、成本等问题及后果，承包人承担一切责任。</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10.4 变更估价</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10.4.1 变更估价原则</w:t>
      </w:r>
      <w:r>
        <w:rPr>
          <w:rFonts w:hint="eastAsia" w:ascii="宋体" w:hAnsi="宋体" w:cs="宋体"/>
          <w:b/>
          <w:bCs/>
          <w:sz w:val="24"/>
          <w:highlight w:val="none"/>
          <w:u w:val="single"/>
        </w:rPr>
        <w:t xml:space="preserve">详见本合同专业条款第12.1条。</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10.5承包人的合理化建议</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监理人审查承包人合理化建议的期限：</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发包人审批承包人合理化建议的期限：</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u w:val="single"/>
        </w:rPr>
      </w:pPr>
      <w:r>
        <w:rPr>
          <w:rFonts w:hint="eastAsia" w:ascii="宋体" w:hAnsi="宋体" w:cs="宋体"/>
          <w:bCs/>
          <w:sz w:val="24"/>
          <w:highlight w:val="none"/>
        </w:rPr>
        <w:t xml:space="preserve">承包人提出的合理化建议降低了合同价格或者提高了工程经济效益的奖励的方法和金额为：</w:t>
      </w:r>
      <w:r>
        <w:rPr>
          <w:rFonts w:hint="eastAsia" w:ascii="宋体" w:hAnsi="宋体" w:cs="宋体"/>
          <w:b/>
          <w:bCs/>
          <w:sz w:val="24"/>
          <w:highlight w:val="none"/>
          <w:u w:val="single"/>
        </w:rPr>
        <w:t xml:space="preserve">/</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u w:val="single"/>
        </w:rPr>
      </w:pPr>
      <w:r>
        <w:rPr>
          <w:rFonts w:hint="eastAsia" w:ascii="宋体" w:hAnsi="宋体" w:cs="宋体"/>
          <w:bCs/>
          <w:sz w:val="24"/>
          <w:highlight w:val="none"/>
        </w:rPr>
        <w:t xml:space="preserve">10.7 暂估价</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暂估价材料和工程设备的明细详见附件11：《暂估价一览表》。</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10.7.1 依法必须招标的暂估价项目</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对于依法必须招标的暂估价项目的确认和批准采取第</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种方式确定。</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10.7.2 不属于依法必须招标的暂估价项目</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对于不属于依法必须招标的暂估价项目的确认和批准采取第</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种方式确定。</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第3种方式：承包人直接实施的暂估价项目</w:t>
      </w:r>
      <w:r/>
    </w:p>
    <w:p>
      <w:pPr>
        <w:ind w:firstLine="480"/>
        <w:keepLines w:val="0"/>
        <w:keepNext w:val="0"/>
        <w:pageBreakBefore w:val="0"/>
        <w:spacing w:line="360" w:lineRule="auto"/>
        <w:widowControl w:val="off"/>
        <w:rPr>
          <w:rFonts w:ascii="宋体" w:hAnsi="宋体" w:cs="宋体"/>
          <w:bCs/>
          <w:sz w:val="24"/>
          <w:highlight w:val="none"/>
          <w:u w:val="single"/>
        </w:rPr>
      </w:pPr>
      <w:r>
        <w:rPr>
          <w:rFonts w:hint="eastAsia" w:ascii="宋体" w:hAnsi="宋体" w:cs="宋体"/>
          <w:bCs/>
          <w:sz w:val="24"/>
          <w:highlight w:val="none"/>
        </w:rPr>
        <w:t xml:space="preserve">承包人直接实施的暂估价项目的约定：</w:t>
      </w:r>
      <w:r>
        <w:rPr>
          <w:rFonts w:hint="eastAsia" w:ascii="宋体" w:hAnsi="宋体" w:cs="宋体"/>
          <w:bCs/>
          <w:sz w:val="24"/>
          <w:highlight w:val="none"/>
          <w:u w:val="single"/>
        </w:rPr>
        <w:t xml:space="preserve">   无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eastAsia="宋体" w:cs="宋体"/>
          <w:sz w:val="24"/>
          <w:highlight w:val="none"/>
          <w:u w:val="single"/>
        </w:rPr>
      </w:pPr>
      <w:r>
        <w:rPr>
          <w:rFonts w:hint="eastAsia" w:ascii="宋体" w:hAnsi="宋体" w:eastAsia="宋体" w:cs="宋体"/>
          <w:color w:val="000000"/>
          <w:sz w:val="24"/>
          <w:highlight w:val="none"/>
        </w:rPr>
        <w:t xml:space="preserve">10.8 暂列金额：</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sz w:val="24"/>
          <w:highlight w:val="none"/>
          <w:u w:val="single"/>
        </w:rPr>
        <w:t xml:space="preserve">。</w:t>
      </w:r>
      <w:r/>
    </w:p>
    <w:p>
      <w:pPr>
        <w:ind w:firstLine="480"/>
        <w:keepLines w:val="0"/>
        <w:keepNext w:val="0"/>
        <w:pageBreakBefore w:val="0"/>
        <w:spacing w:line="360" w:lineRule="auto"/>
        <w:widowControl w:val="off"/>
        <w:rPr>
          <w:rFonts w:hint="eastAsia" w:ascii="宋体" w:hAnsi="宋体" w:cs="宋体"/>
          <w:bCs/>
          <w:sz w:val="24"/>
          <w:highlight w:val="none"/>
        </w:rPr>
      </w:pPr>
      <w:r>
        <w:rPr>
          <w:rFonts w:hint="eastAsia" w:ascii="宋体" w:hAnsi="宋体" w:eastAsia="宋体" w:cs="宋体"/>
          <w:sz w:val="24"/>
          <w:highlight w:val="none"/>
        </w:rPr>
        <w:t xml:space="preserve">合同当事人关于暂列金额使用的约定：</w:t>
      </w:r>
      <w:r>
        <w:rPr>
          <w:rFonts w:hint="eastAsia" w:ascii="宋体" w:hAnsi="宋体" w:cs="宋体"/>
          <w:b/>
          <w:color w:val="000000"/>
          <w:sz w:val="24"/>
          <w:highlight w:val="none"/>
          <w:u w:val="single"/>
        </w:rPr>
        <w:t xml:space="preserve">暂列金</w:t>
      </w:r>
      <w:r>
        <w:rPr>
          <w:rFonts w:hint="eastAsia" w:ascii="宋体" w:hAnsi="宋体" w:cs="宋体"/>
          <w:b/>
          <w:color w:val="000000"/>
          <w:sz w:val="24"/>
          <w:highlight w:val="none"/>
          <w:u w:val="single"/>
          <w:lang w:eastAsia="zh-CN"/>
        </w:rPr>
        <w:t xml:space="preserve">（如有）</w:t>
      </w:r>
      <w:r>
        <w:rPr>
          <w:rFonts w:hint="eastAsia" w:ascii="宋体" w:hAnsi="宋体" w:cs="宋体"/>
          <w:b/>
          <w:color w:val="000000"/>
          <w:sz w:val="24"/>
          <w:highlight w:val="none"/>
          <w:u w:val="single"/>
        </w:rPr>
        <w:t xml:space="preserve">是招标人自行确定设立的，使用权归发包人，承包人无权使用此笔费用。此费用按实际发生经招标人签证后确定全部使用、部分使用或不使用。暂列金不计入工程款付款的基数。</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 价格调整</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11.1 市场价格波动引起的调整</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1）市场价格波动引起的</w:t>
      </w:r>
      <w:r>
        <w:rPr>
          <w:rFonts w:hint="eastAsia" w:ascii="宋体" w:hAnsi="宋体" w:cs="宋体"/>
          <w:b/>
          <w:bCs/>
          <w:sz w:val="24"/>
          <w:highlight w:val="none"/>
          <w:u w:val="single"/>
          <w:lang w:eastAsia="zh-CN"/>
        </w:rPr>
        <w:t xml:space="preserve">设备和</w:t>
      </w:r>
      <w:r>
        <w:rPr>
          <w:rFonts w:hint="eastAsia" w:ascii="宋体" w:hAnsi="宋体" w:cs="宋体"/>
          <w:b/>
          <w:bCs/>
          <w:sz w:val="24"/>
          <w:highlight w:val="none"/>
          <w:u w:val="single"/>
        </w:rPr>
        <w:t xml:space="preserve">材料价格不予调整。</w:t>
      </w:r>
      <w:r/>
    </w:p>
    <w:p>
      <w:pPr>
        <w:ind w:firstLine="482"/>
        <w:keepLines w:val="0"/>
        <w:keepNext w:val="0"/>
        <w:pageBreakBefore w:val="0"/>
        <w:spacing w:line="360" w:lineRule="auto"/>
        <w:widowControl w:val="off"/>
        <w:rPr>
          <w:rFonts w:ascii="宋体" w:hAnsi="宋体" w:cs="宋体"/>
          <w:b/>
          <w:bCs/>
          <w:sz w:val="24"/>
          <w:highlight w:val="none"/>
          <w:u w:val="single"/>
          <w:lang w:val="zh-CN"/>
        </w:rPr>
      </w:pPr>
      <w:r>
        <w:rPr>
          <w:rFonts w:hint="eastAsia" w:ascii="宋体" w:hAnsi="宋体" w:cs="宋体"/>
          <w:b/>
          <w:bCs/>
          <w:sz w:val="24"/>
          <w:highlight w:val="none"/>
          <w:u w:val="single"/>
        </w:rPr>
        <w:t xml:space="preserve">2）人工工资涨跌不予调整</w:t>
      </w:r>
      <w:r>
        <w:rPr>
          <w:rFonts w:hint="eastAsia" w:ascii="宋体" w:hAnsi="宋体" w:cs="宋体"/>
          <w:b/>
          <w:bCs/>
          <w:sz w:val="24"/>
          <w:highlight w:val="none"/>
          <w:u w:val="single"/>
          <w:lang w:val="zh-CN"/>
        </w:rPr>
        <w:t xml:space="preserve">。</w:t>
      </w:r>
      <w:r/>
    </w:p>
    <w:p>
      <w:pPr>
        <w:ind w:firstLine="482"/>
        <w:keepLines w:val="0"/>
        <w:keepNext w:val="0"/>
        <w:pageBreakBefore w:val="0"/>
        <w:spacing w:line="360" w:lineRule="auto"/>
        <w:widowControl w:val="off"/>
        <w:rPr>
          <w:rFonts w:ascii="宋体" w:hAnsi="宋体" w:cs="宋体"/>
          <w:bCs/>
          <w:sz w:val="24"/>
          <w:highlight w:val="none"/>
        </w:rPr>
      </w:pPr>
      <w:r>
        <w:rPr>
          <w:rFonts w:hint="eastAsia" w:ascii="宋体" w:hAnsi="宋体" w:cs="宋体"/>
          <w:b/>
          <w:bCs/>
          <w:sz w:val="24"/>
          <w:highlight w:val="none"/>
        </w:rPr>
        <w:t xml:space="preserve">12. </w:t>
      </w:r>
      <w:r>
        <w:rPr>
          <w:rFonts w:hint="eastAsia" w:ascii="宋体" w:hAnsi="宋体" w:cs="宋体"/>
          <w:bCs/>
          <w:sz w:val="24"/>
          <w:highlight w:val="none"/>
        </w:rPr>
        <w:t xml:space="preserve">合同价格、计量与支付</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12.1 合同价格形式</w:t>
      </w:r>
      <w:r>
        <w:rPr>
          <w:rFonts w:hint="eastAsia" w:ascii="宋体" w:hAnsi="宋体" w:cs="宋体"/>
          <w:bCs/>
          <w:sz w:val="24"/>
          <w:highlight w:val="none"/>
          <w:lang w:eastAsia="zh-CN"/>
        </w:rPr>
        <w:t xml:space="preserve">：</w:t>
      </w:r>
      <w:r>
        <w:rPr>
          <w:rFonts w:hint="eastAsia" w:ascii="宋体" w:hAnsi="宋体" w:cs="宋体"/>
          <w:b/>
          <w:bCs w:val="0"/>
          <w:sz w:val="24"/>
          <w:highlight w:val="none"/>
          <w:u w:val="single"/>
        </w:rPr>
        <w:t xml:space="preserve">单价合同</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综合单价包含的风险范围：</w:t>
      </w:r>
      <w:r>
        <w:rPr>
          <w:rFonts w:hint="eastAsia" w:ascii="宋体" w:hAnsi="宋体" w:cs="宋体"/>
          <w:b/>
          <w:bCs/>
          <w:sz w:val="24"/>
          <w:highlight w:val="none"/>
          <w:u w:val="single"/>
        </w:rPr>
        <w:t xml:space="preserve">除下述风险范围内容可调整外，其余不可调整。</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（1）工程量偏差；</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（2）工程量清单缺、漏项； </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w:t>
      </w:r>
      <w:r>
        <w:rPr>
          <w:rFonts w:hint="eastAsia" w:ascii="宋体" w:hAnsi="宋体" w:cs="宋体"/>
          <w:b/>
          <w:bCs/>
          <w:sz w:val="24"/>
          <w:highlight w:val="none"/>
          <w:u w:val="single"/>
          <w:lang w:val="en-US" w:eastAsia="zh-CN"/>
        </w:rPr>
        <w:t xml:space="preserve">3</w:t>
      </w:r>
      <w:r>
        <w:rPr>
          <w:rFonts w:hint="eastAsia" w:ascii="宋体" w:hAnsi="宋体" w:cs="宋体"/>
          <w:b/>
          <w:bCs/>
          <w:sz w:val="24"/>
          <w:highlight w:val="none"/>
          <w:u w:val="single"/>
        </w:rPr>
        <w:t xml:space="preserve">）工程变更；</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w:t>
      </w:r>
      <w:r>
        <w:rPr>
          <w:rFonts w:hint="eastAsia" w:ascii="宋体" w:hAnsi="宋体" w:cs="宋体"/>
          <w:b/>
          <w:bCs/>
          <w:sz w:val="24"/>
          <w:highlight w:val="none"/>
          <w:u w:val="single"/>
          <w:lang w:val="en-US" w:eastAsia="zh-CN"/>
        </w:rPr>
        <w:t xml:space="preserve">4</w:t>
      </w:r>
      <w:r>
        <w:rPr>
          <w:rFonts w:hint="eastAsia" w:ascii="宋体" w:hAnsi="宋体" w:cs="宋体"/>
          <w:b/>
          <w:bCs/>
          <w:sz w:val="24"/>
          <w:highlight w:val="none"/>
          <w:u w:val="single"/>
        </w:rPr>
        <w:t xml:space="preserve">）现场签证；</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w:t>
      </w:r>
      <w:r>
        <w:rPr>
          <w:rFonts w:hint="eastAsia" w:ascii="宋体" w:hAnsi="宋体" w:cs="宋体"/>
          <w:b/>
          <w:bCs/>
          <w:sz w:val="24"/>
          <w:highlight w:val="none"/>
          <w:u w:val="single"/>
          <w:lang w:val="en-US" w:eastAsia="zh-CN"/>
        </w:rPr>
        <w:t xml:space="preserve">5</w:t>
      </w:r>
      <w:r>
        <w:rPr>
          <w:rFonts w:hint="eastAsia" w:ascii="宋体" w:hAnsi="宋体" w:cs="宋体"/>
          <w:b/>
          <w:bCs/>
          <w:sz w:val="24"/>
          <w:highlight w:val="none"/>
          <w:u w:val="single"/>
        </w:rPr>
        <w:t xml:space="preserve">）暂列金额及暂估价；</w:t>
      </w:r>
      <w:r/>
    </w:p>
    <w:p>
      <w:pPr>
        <w:ind w:firstLine="482"/>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
          <w:bCs/>
          <w:sz w:val="24"/>
          <w:highlight w:val="none"/>
          <w:u w:val="single"/>
        </w:rPr>
        <w:t xml:space="preserve">（</w:t>
      </w:r>
      <w:r>
        <w:rPr>
          <w:rFonts w:hint="eastAsia" w:ascii="宋体" w:hAnsi="宋体" w:cs="宋体"/>
          <w:b/>
          <w:bCs/>
          <w:sz w:val="24"/>
          <w:highlight w:val="none"/>
          <w:u w:val="single"/>
          <w:lang w:val="en-US" w:eastAsia="zh-CN"/>
        </w:rPr>
        <w:t xml:space="preserve">6</w:t>
      </w:r>
      <w:r>
        <w:rPr>
          <w:rFonts w:hint="eastAsia" w:ascii="宋体" w:hAnsi="宋体" w:cs="宋体"/>
          <w:b/>
          <w:bCs/>
          <w:sz w:val="24"/>
          <w:highlight w:val="none"/>
          <w:u w:val="single"/>
        </w:rPr>
        <w:t xml:space="preserve">）发承包人双方约定的其他调整事项。</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风险费用的计算方法：</w:t>
      </w:r>
      <w:r>
        <w:rPr>
          <w:rFonts w:hint="eastAsia" w:ascii="宋体" w:hAnsi="宋体" w:cs="宋体"/>
          <w:b/>
          <w:bCs/>
          <w:sz w:val="24"/>
          <w:highlight w:val="none"/>
          <w:u w:val="single"/>
        </w:rPr>
        <w:t xml:space="preserve">风险范围内的由承包人承担，风险范围外的按合同约定。</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风险范围以外合同价格的调整方法：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（1）本工程以投标截止日前28天为基准，其后国家的法律、法规、规章和政策发生变化影响工程造价，按照省级或行业建设主管部门或其授权的工程造价管理机构发布的规定及合同的约定调整合同价格。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（2）因非承包人原因引起原有工程量清单项目的工程量增减，即招标人提供的工程量清单漏项或缺项，或因设计变更及招标人要求变动的按照以下的计价办法结算：</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A、工程量清单漏项或缺项、变更（或新增项目）引起新的工程量清单项目，其相应综合单价由承包人按本招标文件</w:t>
      </w:r>
      <w:r>
        <w:rPr>
          <w:rFonts w:hint="eastAsia" w:ascii="宋体" w:hAnsi="宋体" w:cs="宋体"/>
          <w:color w:val="000000"/>
          <w:sz w:val="24"/>
          <w:highlight w:val="none"/>
          <w:lang w:eastAsia="zh-CN"/>
        </w:rPr>
        <w:t xml:space="preserve">最高限</w:t>
      </w:r>
      <w:r>
        <w:rPr>
          <w:rFonts w:hint="eastAsia" w:ascii="宋体" w:hAnsi="宋体" w:cs="宋体"/>
          <w:color w:val="000000"/>
          <w:sz w:val="24"/>
          <w:highlight w:val="none"/>
        </w:rPr>
        <w:t xml:space="preserve">价的计价方法提出，并按投标报价相对</w:t>
      </w:r>
      <w:r>
        <w:rPr>
          <w:rFonts w:hint="eastAsia" w:ascii="宋体" w:hAnsi="宋体" w:cs="宋体"/>
          <w:color w:val="000000"/>
          <w:sz w:val="24"/>
          <w:highlight w:val="none"/>
          <w:lang w:eastAsia="zh-CN"/>
        </w:rPr>
        <w:t xml:space="preserve">最高限</w:t>
      </w:r>
      <w:r>
        <w:rPr>
          <w:rFonts w:hint="eastAsia" w:ascii="宋体" w:hAnsi="宋体" w:cs="宋体"/>
          <w:color w:val="000000"/>
          <w:sz w:val="24"/>
          <w:highlight w:val="none"/>
        </w:rPr>
        <w:t xml:space="preserve">价的下浮率下浮（承包人报价浮动率=（1-中标价/</w:t>
      </w:r>
      <w:r>
        <w:rPr>
          <w:rFonts w:hint="eastAsia" w:ascii="宋体" w:hAnsi="宋体" w:cs="宋体"/>
          <w:color w:val="000000"/>
          <w:sz w:val="24"/>
          <w:highlight w:val="none"/>
          <w:lang w:eastAsia="zh-CN"/>
        </w:rPr>
        <w:t xml:space="preserve">最高限</w:t>
      </w:r>
      <w:r>
        <w:rPr>
          <w:rFonts w:hint="eastAsia" w:ascii="宋体" w:hAnsi="宋体" w:cs="宋体"/>
          <w:color w:val="000000"/>
          <w:sz w:val="24"/>
          <w:highlight w:val="none"/>
        </w:rPr>
        <w:t xml:space="preserve">价）×100%，中标价、</w:t>
      </w:r>
      <w:r>
        <w:rPr>
          <w:rFonts w:hint="eastAsia" w:ascii="宋体" w:hAnsi="宋体" w:cs="宋体"/>
          <w:color w:val="000000"/>
          <w:sz w:val="24"/>
          <w:highlight w:val="none"/>
          <w:lang w:eastAsia="zh-CN"/>
        </w:rPr>
        <w:t xml:space="preserve">最高限</w:t>
      </w:r>
      <w:r>
        <w:rPr>
          <w:rFonts w:hint="eastAsia" w:ascii="宋体" w:hAnsi="宋体" w:cs="宋体"/>
          <w:color w:val="000000"/>
          <w:sz w:val="24"/>
          <w:highlight w:val="none"/>
        </w:rPr>
        <w:t xml:space="preserve">价须扣除暂估价、暂列金额及相应的规费税金），经监理方、发包人确认后作为结算依据。</w:t>
      </w:r>
      <w:r/>
    </w:p>
    <w:p>
      <w:pPr>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B、变更引起工程量增减</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（1）当变更引起工程量增减在15%以内（含15%），</w:t>
      </w:r>
      <w:r>
        <w:rPr>
          <w:rFonts w:hint="eastAsia" w:ascii="宋体" w:hAnsi="宋体" w:cs="宋体"/>
          <w:b/>
          <w:color w:val="000000"/>
          <w:sz w:val="24"/>
          <w:highlight w:val="none"/>
        </w:rPr>
        <w:t xml:space="preserve">S= N2* Q1；</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（2）工程量增加在15%以上时， </w:t>
      </w:r>
      <w:r/>
    </w:p>
    <w:p>
      <w:pPr>
        <w:ind w:firstLine="718"/>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当Q1</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Q2,S= N2* Q1</w:t>
      </w:r>
      <w:r/>
    </w:p>
    <w:p>
      <w:pPr>
        <w:ind w:firstLine="718"/>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当Q1</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Q2,S= 1.15N1*Q1+（N2-1.15N1）* Q2</w:t>
      </w:r>
      <w:r/>
    </w:p>
    <w:p>
      <w:pPr>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（3）工程量减少在15%以上时， </w:t>
      </w:r>
      <w:r/>
    </w:p>
    <w:p>
      <w:pPr>
        <w:ind w:firstLine="836"/>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当Q1</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Q2，S=N2*Q1</w:t>
      </w:r>
      <w:r/>
    </w:p>
    <w:p>
      <w:pPr>
        <w:ind w:firstLine="836"/>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当Q1</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Q2，S=N2*Q1+N2*（Q2-Q1）*30%，若该项投标价为不平衡报价的，则S= N2*Q1</w:t>
      </w:r>
      <w:r/>
    </w:p>
    <w:p>
      <w:pPr>
        <w:ind w:firstLine="718"/>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注：审定价S、标底量N1、审定量N2、投标价Q1、按上述A原则组价下浮价Q2</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因分部分项工程量清单漏项或非承包人原因的工程变更，造成施工组织设计或施工方案变更，引起措施项目发生变化时，措施项目费应按下列原则调整：除现场安全文明施工措施费以核定的为准外，其余措施费一律不作调整</w:t>
      </w:r>
      <w:r>
        <w:rPr>
          <w:rFonts w:hint="eastAsia" w:ascii="宋体" w:hAnsi="宋体" w:cs="宋体"/>
          <w:color w:val="000000"/>
          <w:sz w:val="24"/>
          <w:highlight w:val="none"/>
          <w:lang w:eastAsia="zh-CN"/>
        </w:rPr>
        <w:t xml:space="preserve">，但若有未实施，则予以扣减。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（4）人工工资不调整。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（5）暂列金额及暂估价详见合同相关条款。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shd w:val="clear" w:color="auto" w:fill="ffffff"/>
        </w:rPr>
        <w:t xml:space="preserve">市场价格波动引起的材料价格调整的约定：不调整，</w:t>
      </w:r>
      <w:r>
        <w:rPr>
          <w:rFonts w:hint="eastAsia" w:ascii="宋体" w:hAnsi="宋体" w:cs="宋体"/>
          <w:color w:val="000000"/>
          <w:sz w:val="24"/>
          <w:highlight w:val="none"/>
        </w:rPr>
        <w:t xml:space="preserve">建筑材料价格上涨或下降的，其差价均由承包人承担或受益。</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2、总价合同。</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总价包含的风险范围：</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风险费用的计算方法：</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风险范围以外合同价格的调整方法：</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3、其他价格方式：</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12.2 预</w:t>
      </w:r>
      <w:bookmarkStart w:id="89" w:name="突出显示"/>
      <w:r>
        <w:rPr>
          <w:rFonts w:hint="eastAsia" w:ascii="宋体" w:hAnsi="宋体" w:cs="宋体"/>
          <w:bCs/>
          <w:sz w:val="24"/>
          <w:highlight w:val="none"/>
        </w:rPr>
        <w:t xml:space="preserve">付款</w:t>
      </w:r>
      <w:bookmarkEnd w:id="89"/>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12.2.1 预付款的支付</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预付款支付比例或金额：</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预付款支付期限：</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预付款扣回的方式：</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12.2.2 预付款担保</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承包人提交预付款担保的期限：</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预付款担保的形式为：</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12.3 计量</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12.3.1 计量原则</w:t>
      </w:r>
      <w:r/>
    </w:p>
    <w:p>
      <w:pPr>
        <w:ind w:firstLine="480"/>
        <w:keepLines w:val="0"/>
        <w:keepNext w:val="0"/>
        <w:pageBreakBefore w:val="0"/>
        <w:spacing w:line="360" w:lineRule="auto"/>
        <w:widowControl w:val="off"/>
        <w:rPr>
          <w:rFonts w:hint="eastAsia" w:ascii="宋体" w:hAnsi="宋体" w:cs="宋体"/>
          <w:b/>
          <w:color w:val="000000"/>
          <w:sz w:val="24"/>
          <w:highlight w:val="none"/>
          <w:u w:val="single"/>
        </w:rPr>
      </w:pPr>
      <w:r>
        <w:rPr>
          <w:rFonts w:hint="eastAsia" w:ascii="宋体" w:hAnsi="宋体" w:cs="宋体"/>
          <w:bCs/>
          <w:sz w:val="24"/>
          <w:highlight w:val="none"/>
        </w:rPr>
        <w:t xml:space="preserve">工程量计算规则：</w:t>
      </w:r>
      <w:r>
        <w:rPr>
          <w:rFonts w:hint="eastAsia" w:ascii="宋体" w:hAnsi="宋体" w:cs="宋体"/>
          <w:b/>
          <w:bCs/>
          <w:sz w:val="24"/>
          <w:highlight w:val="none"/>
          <w:u w:val="single"/>
        </w:rPr>
        <w:t xml:space="preserve">本工程施工图及其工程量清单；</w:t>
      </w:r>
      <w:r>
        <w:rPr>
          <w:rFonts w:hint="eastAsia" w:ascii="宋体" w:hAnsi="宋体" w:cs="宋体"/>
          <w:b/>
          <w:color w:val="000000"/>
          <w:sz w:val="24"/>
          <w:highlight w:val="none"/>
          <w:u w:val="single"/>
        </w:rPr>
        <w:t xml:space="preserve">《建筑工程工程量清单计价规范》（GB50500-2013）、《通用安装工程工程量计算规范》（GB50856-2013）；《江苏省建设工程工程量清单计价项目</w:t>
      </w:r>
      <w:r>
        <w:rPr>
          <w:rFonts w:hint="eastAsia" w:ascii="宋体" w:hAnsi="宋体" w:cs="宋体"/>
          <w:b/>
          <w:color w:val="000000"/>
          <w:sz w:val="24"/>
          <w:highlight w:val="none"/>
          <w:u w:val="single"/>
        </w:rPr>
        <w:t xml:space="preserve">指引》（2014年） ；《江苏省建筑与装饰工程计价定额》（2014年）、《江苏省安装工程计价定额》（2014年）；《江苏省建设工程费用定额》（2014年）、《省住房和城乡建设厅关于建筑业实施营改增后江苏省建设工程计价依据调整的通知》（苏建价[2016]154号文）、《省住房城乡建设厅关于调整建设工程按质论价等费用计取方法的公告》（[2018]第24号）、《省住房城乡建设厅关于调整建设工程计价增值税税率的通知》 苏建函价〔2019〕178号；其他相应的补充规定和南通市现行的有关文件。征税方式采用一般计税法等。</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12.3.2 计量周期</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关于计量周期的约定：</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12.3.3 单价合同的计量</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关于单价合同计量的约定：</w:t>
      </w:r>
      <w:r>
        <w:rPr>
          <w:rFonts w:hint="eastAsia" w:ascii="宋体" w:hAnsi="宋体" w:cs="宋体"/>
          <w:b/>
          <w:bCs/>
          <w:sz w:val="24"/>
          <w:highlight w:val="none"/>
          <w:u w:val="single"/>
        </w:rPr>
        <w:t xml:space="preserve">竣工结算的工程量按发承包双方在合同中约定应予计量且实际完成的合格工程量确定，完成发包人要求的合同以外的零星工作或发生非承包人责任事件的工程量按现场签证确定。</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12.3.4 总价合同的计量</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关于总价合同计量的约定：</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12.3.5总价合同采用支付分解表计量支付的，是否适用第12.3.4 项〔总价合同的计量〕约定进行计量：</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12.3.6 其他价格形式合同的计量</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其他价格形式的计量方式和程序：</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12.4 工程进度款支付</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12.4.1 付款周期</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关于付款周期的约定：</w:t>
      </w:r>
      <w:r/>
    </w:p>
    <w:p>
      <w:pPr>
        <w:ind w:firstLine="560"/>
        <w:spacing w:line="460" w:lineRule="exact"/>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rPr>
        <w:t xml:space="preserve">）承包人缴纳履约保证金（合同总价*10%）、合同签订生效，且施工队伍进场开工后，发包人向承包人支付合同价30%的工程款；工程竣工验收合格后，发包人向承包人支付至合同价的80%，同时在无违约情形时退还履约保证金；审计结束后，发包人向承包人支付至审定价的97%；余款3%作为质量保修金；2年质保期满且无质量问题并经书面确认后15日内返还。</w:t>
      </w:r>
      <w:r/>
    </w:p>
    <w:p>
      <w:pPr>
        <w:ind w:firstLine="560"/>
        <w:spacing w:line="460" w:lineRule="exact"/>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承包人在申请支付时，须提交相应金额且符合</w:t>
      </w:r>
      <w:r>
        <w:rPr>
          <w:rFonts w:hint="eastAsia" w:ascii="宋体" w:hAnsi="宋体" w:cs="宋体"/>
          <w:b/>
          <w:bCs/>
          <w:color w:val="000000"/>
          <w:sz w:val="24"/>
          <w:highlight w:val="none"/>
          <w:u w:val="single"/>
          <w:lang w:eastAsia="zh-CN"/>
        </w:rPr>
        <w:t xml:space="preserve">发包人</w:t>
      </w:r>
      <w:r>
        <w:rPr>
          <w:rFonts w:hint="eastAsia" w:ascii="宋体" w:hAnsi="宋体" w:cs="宋体"/>
          <w:b/>
          <w:bCs/>
          <w:color w:val="000000"/>
          <w:sz w:val="24"/>
          <w:highlight w:val="none"/>
          <w:u w:val="single"/>
        </w:rPr>
        <w:t xml:space="preserve">财务制度规定的增值税发票。</w:t>
      </w:r>
      <w:r/>
    </w:p>
    <w:p>
      <w:pPr>
        <w:ind w:firstLine="460"/>
        <w:jc w:val="left"/>
        <w:spacing w:line="360" w:lineRule="auto"/>
        <w:widowControl/>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2</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eastAsia="zh-CN"/>
        </w:rPr>
        <w:t xml:space="preserve">本</w:t>
      </w:r>
      <w:r>
        <w:rPr>
          <w:rFonts w:hint="eastAsia" w:ascii="宋体" w:hAnsi="宋体" w:cs="宋体"/>
          <w:b/>
          <w:color w:val="000000"/>
          <w:sz w:val="24"/>
          <w:highlight w:val="none"/>
          <w:u w:val="single"/>
        </w:rPr>
        <w:t xml:space="preserve">项目结算必须按规范编制，并经发包人确认后报有关部门审计。本工程竣工结算由发包人委托的三方审计机构审计确认，承包人应如实报送工程竣工结算，如经第三方审计机构审计后，核减额≦10%时，审计费由发包人支付；10%＜核减额≦15%时，审计费由承包人、发包人各承担50%；核减额＞15%时，审计费全部由承包人承担。审计费按医院已签署的审计合同计取、发包方无需另行提供票据证实，直接在应付款中扣除。</w:t>
      </w:r>
      <w:r/>
    </w:p>
    <w:p>
      <w:pPr>
        <w:ind w:firstLine="460"/>
        <w:jc w:val="left"/>
        <w:spacing w:line="360" w:lineRule="auto"/>
        <w:widowControl/>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核减额=初审核减额+复审核减额，审计核减率=核减额/送审金额*100%</w:t>
      </w:r>
      <w:r/>
    </w:p>
    <w:p>
      <w:pPr>
        <w:ind w:firstLine="460"/>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3</w:t>
      </w:r>
      <w:r>
        <w:rPr>
          <w:rFonts w:hint="eastAsia" w:ascii="宋体" w:hAnsi="宋体" w:cs="宋体"/>
          <w:b/>
          <w:color w:val="000000"/>
          <w:sz w:val="24"/>
          <w:highlight w:val="none"/>
          <w:u w:val="single"/>
        </w:rPr>
        <w:t xml:space="preserve">）所有款项由发包人按相关财务支付规定办理支付手续，不得故意拖延支付时间。</w:t>
      </w:r>
      <w:r/>
    </w:p>
    <w:p>
      <w:pPr>
        <w:ind w:firstLine="460"/>
        <w:spacing w:line="360" w:lineRule="auto"/>
        <w:rPr>
          <w:rFonts w:ascii="宋体" w:hAnsi="宋体" w:cs="宋体"/>
          <w:b/>
          <w:color w:val="000000"/>
          <w:sz w:val="24"/>
          <w:highlight w:val="none"/>
          <w:u w:val="single"/>
        </w:rPr>
      </w:pPr>
      <w:r>
        <w:rPr>
          <w:rFonts w:hint="eastAsia" w:ascii="宋体" w:hAnsi="宋体" w:cs="宋体"/>
          <w:b/>
          <w:color w:val="000000"/>
          <w:sz w:val="24"/>
          <w:highlight w:val="none"/>
        </w:rPr>
        <w:t xml:space="preserve">说明：</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（1）履约保证金在工程竣工验收合格后退还。承包人不得因工程造价低，造成质量、停工等问题，如有发生，该保证金不退。</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（2）承包人不得因拖欠材料商、分包商等工程款而影响工程进度和质量，否则承包人除承担违约责任外，还需承担违约金，金额为拖欠款的 20%。</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（3）发包人有权直接扣除按合同规定对承包人的各项违约金，并以工程联系单或违约单的形式发放给承包人。</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（4）所有工程付款必须经总监理工程师和发包方项目负责人签发付款证书后发包人才予以支付。</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（5）实际完成工作量小于合同价时，以实际工作量为付款基数。</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6）本工程以发包方指定的审价单位的审计结果作为工程款结算和支付依据，如相关政府部门或审计部门在检查或审计过程中发现审价单位的审计结果有误，则以相关政府部门或审计部门的审计结果作为最终结算价，发包人已支付的工程款（含进度款）超过结算价相应比例的部分，承包人无条件同意发包人在未付的工程款中直接扣除超支部分及按银行同期贷款利率的两倍计算的利息，未支付的工程款中不足以完全覆盖前述退款及利息的或承包人已经付清工程款的，承包人应在发包人发出退款通知的10日内向发包人支付退款及利息。</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12.4.2 进度付款申请单的编制</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关于进度付款申请单编制的约定：</w:t>
      </w:r>
      <w:r>
        <w:rPr>
          <w:rFonts w:hint="eastAsia" w:ascii="宋体" w:hAnsi="宋体" w:cs="宋体"/>
          <w:bCs/>
          <w:sz w:val="24"/>
          <w:highlight w:val="none"/>
          <w:u w:val="single"/>
        </w:rPr>
        <w:t xml:space="preserve"> </w:t>
      </w:r>
      <w:r>
        <w:rPr>
          <w:rFonts w:hint="eastAsia" w:ascii="宋体" w:hAnsi="宋体" w:cs="宋体"/>
          <w:b/>
          <w:color w:val="000000"/>
          <w:sz w:val="24"/>
          <w:highlight w:val="none"/>
          <w:u w:val="single"/>
        </w:rPr>
        <w:t xml:space="preserve">调整价款、变更增补项目价款不在进度款中支付。发包人有权直接扣除承包人应支付的违约金。所有工程款的支付必须由承包人递交付款申请，经总监理工程师和发包人现场代表审核后予以支付。发包人代垫代扣的所有费用可以从工程款中直接扣除，每次支付工程款前，承包人必须开具符合税务部门规定的费率的增值税专用发票。承包人未提供符合发包人要求的增值税发票的，发包人有权拒绝付款</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12.4.3 进度付款申请单的提交</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（1）单价合同进度付款申请单提交的约定：</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（2）总价合同进度付款申请单提交的约定：</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（3）其他价格形式合同进度付款申请单提交的约定：</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12.4.4 进度款审核和支付</w:t>
      </w:r>
      <w:r/>
    </w:p>
    <w:p>
      <w:pPr>
        <w:ind w:firstLine="480"/>
        <w:keepLines w:val="0"/>
        <w:keepNext w:val="0"/>
        <w:pageBreakBefore w:val="0"/>
        <w:spacing w:line="360" w:lineRule="auto"/>
        <w:widowControl w:val="off"/>
        <w:rPr>
          <w:rFonts w:ascii="宋体" w:hAnsi="宋体" w:cs="宋体"/>
          <w:bCs/>
          <w:sz w:val="24"/>
          <w:highlight w:val="none"/>
          <w:u w:val="single"/>
        </w:rPr>
      </w:pPr>
      <w:r>
        <w:rPr>
          <w:rFonts w:hint="eastAsia" w:ascii="宋体" w:hAnsi="宋体" w:cs="宋体"/>
          <w:bCs/>
          <w:sz w:val="24"/>
          <w:highlight w:val="none"/>
        </w:rPr>
        <w:t xml:space="preserve">（1）监理人审查并报送发包人的期限：</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发包人完成审批并签发进度款支付证书的期限：</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（2）发包人支付进度款的期限：</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发包人逾期支付进度款的违约金的计算方式：</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12.4.6 支付分解表的编制</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2、总价合同支付分解表的编制与审批：</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3、单价合同的总价项目支付分解表的编制与审批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13. 验收和工程试车</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13.1 分部分项工程验收</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13.1.2监理人不能按时进行验收时，</w:t>
      </w:r>
      <w:r>
        <w:rPr>
          <w:rFonts w:hint="eastAsia" w:ascii="宋体" w:hAnsi="宋体" w:cs="宋体"/>
          <w:color w:val="000000"/>
          <w:sz w:val="24"/>
          <w:highlight w:val="none"/>
        </w:rPr>
        <w:t xml:space="preserve">应提前</w:t>
      </w:r>
      <w:r>
        <w:rPr>
          <w:rFonts w:hint="eastAsia" w:ascii="宋体" w:hAnsi="宋体" w:cs="宋体"/>
          <w:color w:val="000000"/>
          <w:sz w:val="24"/>
          <w:highlight w:val="none"/>
          <w:u w:val="single"/>
        </w:rPr>
        <w:t xml:space="preserve"> 24 </w:t>
      </w:r>
      <w:r>
        <w:rPr>
          <w:rFonts w:hint="eastAsia" w:ascii="宋体" w:hAnsi="宋体" w:cs="宋体"/>
          <w:color w:val="000000"/>
          <w:sz w:val="24"/>
          <w:highlight w:val="none"/>
        </w:rPr>
        <w:t xml:space="preserve">小时提交书面延期要求</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
          <w:bCs/>
          <w:sz w:val="24"/>
          <w:highlight w:val="none"/>
        </w:rPr>
      </w:pPr>
      <w:r>
        <w:rPr>
          <w:rFonts w:hint="eastAsia" w:ascii="宋体" w:hAnsi="宋体" w:cs="宋体"/>
          <w:bCs/>
          <w:sz w:val="24"/>
          <w:highlight w:val="none"/>
        </w:rPr>
        <w:t xml:space="preserve">关于延期最长不得超过：</w:t>
      </w:r>
      <w:r>
        <w:rPr>
          <w:rFonts w:hint="eastAsia" w:ascii="宋体" w:hAnsi="宋体" w:cs="宋体"/>
          <w:b/>
          <w:bCs/>
          <w:sz w:val="24"/>
          <w:highlight w:val="none"/>
          <w:u w:val="single"/>
        </w:rPr>
        <w:t xml:space="preserve"> </w:t>
      </w:r>
      <w:r>
        <w:rPr>
          <w:rFonts w:hint="eastAsia" w:ascii="宋体" w:hAnsi="宋体" w:cs="宋体"/>
          <w:b/>
          <w:bCs/>
          <w:sz w:val="24"/>
          <w:highlight w:val="none"/>
          <w:u w:val="single"/>
          <w:lang w:val="en-US" w:eastAsia="zh-CN"/>
        </w:rPr>
        <w:t xml:space="preserve">48</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小时。</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13.2 竣工验收</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13.2.2竣工验收程序</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关于竣工验收程序的约定：</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按通用条款执行</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发包人不按照本项约定组织竣工验收、颁发工程接收证书的违约金的计算方法：</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13.2.5移交、接收全部与部分工程</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承包人向发包人移交工程的期限：</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按通用条款执行</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u w:val="single"/>
        </w:rPr>
      </w:pPr>
      <w:r>
        <w:rPr>
          <w:rFonts w:hint="eastAsia" w:ascii="宋体" w:hAnsi="宋体" w:cs="宋体"/>
          <w:bCs/>
          <w:sz w:val="24"/>
          <w:highlight w:val="none"/>
        </w:rPr>
        <w:t xml:space="preserve">发包人未按本合同约定接收全部或部分工程的，违约金的计算方法为：</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承包人未按时移交工程的，违约金的计算方法为：</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13.3 工程试车</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13.3.1 试车程序</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工程试车内容：</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（1）单机无负荷试车费用由</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承担；</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（2）无负荷联动试车费用由</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承担。</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13.3.3 投料试车</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关于投料试车相关事项的约定：</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13.6 竣工退场</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13.6.1 竣工退场</w:t>
      </w:r>
      <w:r/>
    </w:p>
    <w:p>
      <w:pPr>
        <w:ind w:firstLine="480"/>
        <w:keepLines w:val="0"/>
        <w:keepNext w:val="0"/>
        <w:pageBreakBefore w:val="0"/>
        <w:spacing w:line="360" w:lineRule="auto"/>
        <w:widowControl w:val="off"/>
        <w:rPr>
          <w:rFonts w:ascii="宋体" w:hAnsi="宋体" w:cs="宋体"/>
          <w:bCs/>
          <w:sz w:val="24"/>
          <w:highlight w:val="none"/>
          <w:u w:val="single"/>
        </w:rPr>
      </w:pPr>
      <w:r>
        <w:rPr>
          <w:rFonts w:hint="eastAsia" w:ascii="宋体" w:hAnsi="宋体" w:cs="宋体"/>
          <w:bCs/>
          <w:sz w:val="24"/>
          <w:highlight w:val="none"/>
        </w:rPr>
        <w:t xml:space="preserve">承包人完成竣工退场的期限：</w:t>
      </w:r>
      <w:r>
        <w:rPr>
          <w:rFonts w:hint="eastAsia" w:ascii="宋体" w:hAnsi="宋体" w:cs="宋体"/>
          <w:bCs/>
          <w:sz w:val="24"/>
          <w:highlight w:val="none"/>
          <w:u w:val="single"/>
        </w:rPr>
        <w:t xml:space="preserve">承包人须在工程竣工验收后7天内拆除现场所有临时设施。包括所有的建筑垃圾及剩余材料全部清运出现场的费用。清理标准应得到发包人认可，否则，如发生相关费用则由发包人按实际发生费用的2倍及以上在工程结算价款中扣除。环卫等部门预收保证金由承包人负责清退。</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u w:val="single"/>
        </w:rPr>
        <w:t xml:space="preserve">工程竣工验收后（发包人批准的除外），承包人的管理、施工人员，材料、设备必须在十天内全部退出现场；建筑、生活垃圾应随时清理出现场，确保场地清洁。人员全部撤离现场后仍然有配合监理和审计工作的义务，并能及时处理现场事务。</w:t>
      </w:r>
      <w:r/>
    </w:p>
    <w:p>
      <w:pPr>
        <w:ind w:firstLine="482"/>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rPr>
        <w:t xml:space="preserve">14. 竣工结算</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14.1 竣工结算申请</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承包人提交竣工结算申请单的期限：</w:t>
      </w:r>
      <w:r>
        <w:rPr>
          <w:rFonts w:hint="eastAsia" w:ascii="宋体" w:hAnsi="宋体" w:cs="宋体"/>
          <w:b/>
          <w:bCs/>
          <w:sz w:val="24"/>
          <w:highlight w:val="none"/>
          <w:u w:val="single"/>
        </w:rPr>
        <w:t xml:space="preserve">/</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竣工结算申请单应包括的内容：</w:t>
      </w:r>
      <w:r>
        <w:rPr>
          <w:rFonts w:hint="eastAsia" w:ascii="宋体" w:hAnsi="宋体" w:cs="宋体"/>
          <w:b/>
          <w:bCs/>
          <w:sz w:val="24"/>
          <w:highlight w:val="none"/>
          <w:u w:val="single"/>
        </w:rPr>
        <w:t xml:space="preserve">承包人在工程竣工验收时应提供经监理工程师审查通过的四套完整的竣工图和其他资料，承包人提供的所有资料必须及时且满足档案存档和工程备案（如有）要求，否则每迟一日向发包人支付2000元/天的违约金，同时发包人可拒绝递交审计或延期审计，由此带来的一切后果由承包人承担。A施工中没有设计变更，施工后由承包人在发包人提供的施工图纸上加盖竣工图章，提交发包人；B施工中对原设计中变更较多，原施工图难于作为竣工图，应由承包人组织重新绘制竣工图，并承担相应费用。并经发包人确认后报经认可的第三方审计机构审计确认。</w:t>
      </w:r>
      <w:r/>
    </w:p>
    <w:p>
      <w:pPr>
        <w:ind w:firstLine="482"/>
        <w:keepLines w:val="0"/>
        <w:keepNext w:val="0"/>
        <w:pageBreakBefore w:val="0"/>
        <w:spacing w:line="360" w:lineRule="auto"/>
        <w:widowControl w:val="off"/>
        <w:rPr>
          <w:rFonts w:ascii="宋体" w:hAnsi="宋体" w:cs="宋体"/>
          <w:bCs/>
          <w:sz w:val="24"/>
          <w:highlight w:val="none"/>
        </w:rPr>
      </w:pPr>
      <w:r>
        <w:rPr>
          <w:rFonts w:hint="eastAsia" w:ascii="宋体" w:hAnsi="宋体" w:cs="宋体"/>
          <w:b/>
          <w:bCs/>
          <w:sz w:val="24"/>
          <w:highlight w:val="none"/>
          <w:u w:val="single"/>
        </w:rPr>
        <w:t xml:space="preserve">工程竣工验收合格后，承包人应向发包人及时递交完整的符合审计要求的结算资料，若承包人原因不能提交结算资料的，发包人有权拒绝或延期审计并拒付工程款。由此带来的一切后果由承包人承担。</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14.2 竣工结算审核</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发包人审批竣工付款申请单的期限：</w:t>
      </w:r>
      <w:r>
        <w:rPr>
          <w:rFonts w:hint="eastAsia" w:ascii="宋体" w:hAnsi="宋体" w:cs="宋体"/>
          <w:b/>
          <w:bCs/>
          <w:sz w:val="24"/>
          <w:highlight w:val="none"/>
          <w:u w:val="singl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发包人完成竣工付款的期限：</w:t>
      </w:r>
      <w:r>
        <w:rPr>
          <w:rFonts w:hint="eastAsia" w:ascii="宋体" w:hAnsi="宋体" w:cs="宋体"/>
          <w:b/>
          <w:bCs/>
          <w:sz w:val="24"/>
          <w:highlight w:val="none"/>
          <w:u w:val="singl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关于竣工付款证书异议部分复核的方式和程序：</w:t>
      </w:r>
      <w:r>
        <w:rPr>
          <w:rFonts w:hint="eastAsia" w:ascii="宋体" w:hAnsi="宋体" w:cs="宋体"/>
          <w:b/>
          <w:bCs/>
          <w:sz w:val="24"/>
          <w:highlight w:val="none"/>
          <w:u w:val="singl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14.4 最终结清</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14.4.1 最终结清申请单</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承包人提交最终结清申请单的份数：</w:t>
      </w:r>
      <w:r>
        <w:rPr>
          <w:rFonts w:hint="eastAsia" w:ascii="宋体" w:hAnsi="宋体" w:cs="宋体"/>
          <w:b/>
          <w:bCs/>
          <w:sz w:val="24"/>
          <w:highlight w:val="none"/>
          <w:u w:val="single"/>
          <w:lang w:val="en-US" w:eastAsia="zh-CN"/>
        </w:rPr>
        <w:t xml:space="preserve">4份</w:t>
      </w:r>
      <w:r>
        <w:rPr>
          <w:rFonts w:hint="eastAsia" w:ascii="宋体" w:hAnsi="宋体" w:cs="宋体"/>
          <w:b/>
          <w:bCs/>
          <w:sz w:val="24"/>
          <w:highlight w:val="none"/>
          <w:u w:val="singl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承包人提交最终结算申请单的期限：</w:t>
      </w:r>
      <w:r>
        <w:rPr>
          <w:rFonts w:hint="eastAsia" w:ascii="宋体" w:hAnsi="宋体" w:cs="宋体"/>
          <w:b/>
          <w:bCs/>
          <w:sz w:val="24"/>
          <w:highlight w:val="none"/>
          <w:u w:val="singl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14.4.2 最终结清证书和支付</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（1）发包人完成最终结清申请单的审批并颁发最终结清证书的期限：</w:t>
      </w:r>
      <w:r>
        <w:rPr>
          <w:rFonts w:hint="eastAsia" w:ascii="宋体" w:hAnsi="宋体" w:cs="宋体"/>
          <w:b/>
          <w:bCs/>
          <w:sz w:val="24"/>
          <w:highlight w:val="none"/>
          <w:u w:val="singl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（2）发包人完成支付的期限：</w:t>
      </w:r>
      <w:r>
        <w:rPr>
          <w:rFonts w:hint="eastAsia" w:ascii="宋体" w:hAnsi="宋体" w:cs="宋体"/>
          <w:b/>
          <w:bCs/>
          <w:sz w:val="24"/>
          <w:highlight w:val="none"/>
          <w:u w:val="single"/>
        </w:rPr>
        <w:t xml:space="preserve">/。</w:t>
      </w:r>
      <w:r/>
    </w:p>
    <w:p>
      <w:pPr>
        <w:ind w:firstLine="482"/>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rPr>
        <w:t xml:space="preserve">15. 缺陷责任期与保修</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15.2缺陷责任期</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缺陷责任期</w:t>
      </w:r>
      <w:r>
        <w:rPr>
          <w:rFonts w:hint="eastAsia" w:ascii="宋体" w:hAnsi="宋体" w:cs="宋体"/>
          <w:bCs/>
          <w:sz w:val="24"/>
          <w:highlight w:val="none"/>
        </w:rPr>
        <w:t xml:space="preserve">的具体期限：</w:t>
      </w:r>
      <w:r>
        <w:rPr>
          <w:rFonts w:hint="eastAsia" w:ascii="宋体" w:hAnsi="宋体" w:cs="宋体"/>
          <w:b/>
          <w:bCs/>
          <w:sz w:val="24"/>
          <w:highlight w:val="none"/>
          <w:u w:val="single"/>
          <w:lang w:val="en-US" w:eastAsia="zh-CN"/>
        </w:rPr>
        <w:t xml:space="preserve"> 2</w:t>
      </w:r>
      <w:r>
        <w:rPr>
          <w:rFonts w:hint="eastAsia" w:ascii="宋体" w:hAnsi="宋体" w:cs="宋体"/>
          <w:b/>
          <w:bCs/>
          <w:sz w:val="24"/>
          <w:highlight w:val="none"/>
          <w:u w:val="single"/>
        </w:rPr>
        <w:t xml:space="preserve">年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15.3 质量保证金</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关于是否扣留质量保证金的约定：</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是</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。在工程项目竣工前，承包人按专用合同条款第3.7条提供履约担保的，发包人不得同时预留工程质量保证金。</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15.3.1 承包人提供质量保证金的方式</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质量保证金采用以下第</w:t>
      </w:r>
      <w:r>
        <w:rPr>
          <w:rFonts w:hint="eastAsia" w:ascii="宋体" w:hAnsi="宋体" w:cs="宋体"/>
          <w:bCs/>
          <w:sz w:val="24"/>
          <w:highlight w:val="none"/>
          <w:u w:val="single"/>
        </w:rPr>
        <w:t xml:space="preserve">  2  </w:t>
      </w:r>
      <w:r>
        <w:rPr>
          <w:rFonts w:hint="eastAsia" w:ascii="宋体" w:hAnsi="宋体" w:cs="宋体"/>
          <w:bCs/>
          <w:sz w:val="24"/>
          <w:highlight w:val="none"/>
        </w:rPr>
        <w:t xml:space="preserve">种方式：</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（1）质量保证金保函，保证金额为：</w:t>
      </w:r>
      <w:r>
        <w:rPr>
          <w:rFonts w:hint="eastAsia" w:ascii="宋体" w:hAnsi="宋体" w:cs="宋体"/>
          <w:bCs/>
          <w:sz w:val="24"/>
          <w:highlight w:val="none"/>
          <w:u w:val="single"/>
        </w:rPr>
        <w:t xml:space="preserve">         </w:t>
      </w:r>
      <w:r>
        <w:rPr>
          <w:rFonts w:ascii="宋体" w:hAnsi="宋体" w:cs="宋体"/>
          <w:bCs/>
          <w:sz w:val="24"/>
          <w:highlight w:val="none"/>
          <w:u w:val="singl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（2）</w:t>
      </w:r>
      <w:r>
        <w:rPr>
          <w:rFonts w:ascii="宋体" w:hAnsi="宋体" w:cs="宋体"/>
          <w:bCs/>
          <w:sz w:val="24"/>
          <w:highlight w:val="none"/>
          <w:u w:val="single"/>
        </w:rPr>
        <w:t xml:space="preserve">3</w:t>
      </w:r>
      <w:r>
        <w:rPr>
          <w:rFonts w:hint="eastAsia" w:ascii="宋体" w:hAnsi="宋体" w:cs="宋体"/>
          <w:bCs/>
          <w:sz w:val="24"/>
          <w:highlight w:val="none"/>
          <w:u w:val="single"/>
        </w:rPr>
        <w:t xml:space="preserve">%的工程总价（审计后）</w:t>
      </w:r>
      <w:r>
        <w:rPr>
          <w:rFonts w:hint="eastAsia" w:ascii="宋体" w:hAnsi="宋体" w:cs="宋体"/>
          <w:bCs/>
          <w:sz w:val="24"/>
          <w:highlight w:val="none"/>
        </w:rPr>
        <w:t xml:space="preserve">工程款；</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（3）其他方式:</w:t>
      </w:r>
      <w:r>
        <w:rPr>
          <w:rFonts w:hint="eastAsia" w:ascii="宋体" w:hAnsi="宋体" w:cs="宋体"/>
          <w:bCs/>
          <w:sz w:val="24"/>
          <w:highlight w:val="none"/>
          <w:u w:val="single"/>
        </w:rPr>
        <w:t xml:space="preserve">                  </w:t>
      </w:r>
      <w:r>
        <w:rPr>
          <w:rFonts w:ascii="宋体" w:hAnsi="宋体" w:cs="宋体"/>
          <w:bCs/>
          <w:sz w:val="24"/>
          <w:highlight w:val="none"/>
          <w:u w:val="singl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15.3.2 质量保证金的扣留 </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质量保证金的扣留采取以下第</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2</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种方式：</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（1）在支付工程进度款时逐次扣留，在此情形下，质量保证金的计算基数不包括预付款的支付、扣回以及价格调整的金额；</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（2）工程竣工结算时一次性扣留质量保证金；</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（3）其他扣留方式:</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关于质量保证金的补充约定：</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15.4保修</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15.4.1 保修责任</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工程保修期为：</w:t>
      </w:r>
      <w:r>
        <w:rPr>
          <w:rFonts w:hint="eastAsia" w:ascii="宋体" w:hAnsi="宋体" w:cs="宋体"/>
          <w:b/>
          <w:bCs/>
          <w:sz w:val="24"/>
          <w:highlight w:val="none"/>
          <w:u w:val="single"/>
        </w:rPr>
        <w:t xml:space="preserve">见工程质量保修书。</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15.4.3 修复通知</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承包人收到保修通知并到达工程现场的合理时间：</w:t>
      </w:r>
      <w:r>
        <w:rPr>
          <w:rFonts w:hint="eastAsia" w:ascii="宋体" w:hAnsi="宋体" w:cs="宋体"/>
          <w:b/>
          <w:bCs/>
          <w:sz w:val="24"/>
          <w:highlight w:val="none"/>
          <w:u w:val="single"/>
        </w:rPr>
        <w:t xml:space="preserve">收到通知后12小时内。</w:t>
      </w:r>
      <w:r/>
    </w:p>
    <w:p>
      <w:pPr>
        <w:ind w:firstLine="482"/>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rPr>
        <w:t xml:space="preserve">16. 违约</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16.1 发包人违约</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16.1.1发包人违约的情形</w:t>
      </w:r>
      <w:r/>
    </w:p>
    <w:p>
      <w:pPr>
        <w:ind w:left="1199" w:hanging="72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发包人违约的其他情形：</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p>
    <w:p>
      <w:pPr>
        <w:ind w:left="1200" w:hanging="120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    16.1.2 发包人违约的责任</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发包人违约责任的承担方式和计算方法：</w:t>
      </w:r>
      <w:r/>
    </w:p>
    <w:p>
      <w:pPr>
        <w:ind w:firstLine="480"/>
        <w:spacing w:line="460" w:lineRule="exact"/>
        <w:rPr>
          <w:rFonts w:ascii="宋体" w:hAnsi="宋体" w:cs="宋体"/>
          <w:color w:val="000000"/>
          <w:sz w:val="24"/>
          <w:highlight w:val="none"/>
          <w:u w:val="single"/>
        </w:rPr>
      </w:pPr>
      <w:r>
        <w:rPr>
          <w:rFonts w:hint="eastAsia" w:ascii="宋体" w:hAnsi="宋体" w:cs="宋体"/>
          <w:color w:val="000000"/>
          <w:sz w:val="24"/>
          <w:highlight w:val="none"/>
        </w:rPr>
        <w:t xml:space="preserve">（1）因发包人原因未能在计划开工日期前7天内下达开工通知的违约责任：</w:t>
      </w:r>
      <w:r>
        <w:rPr>
          <w:rFonts w:hint="eastAsia" w:ascii="宋体" w:hAnsi="宋体" w:cs="宋体"/>
          <w:b/>
          <w:bCs/>
          <w:color w:val="000000"/>
          <w:sz w:val="24"/>
          <w:highlight w:val="none"/>
          <w:u w:val="single"/>
        </w:rPr>
        <w:t xml:space="preserve">双方另行协商</w:t>
      </w:r>
      <w:r>
        <w:rPr>
          <w:rFonts w:hint="eastAsia" w:ascii="宋体" w:hAnsi="宋体" w:cs="宋体"/>
          <w:color w:val="000000"/>
          <w:sz w:val="24"/>
          <w:highlight w:val="none"/>
        </w:rPr>
        <w:t xml:space="preserve">。</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（2）因发包人原因未能按合同约定支付合同价款的违约责任：</w:t>
      </w:r>
      <w:r>
        <w:rPr>
          <w:rFonts w:hint="eastAsia" w:ascii="宋体" w:hAnsi="宋体" w:cs="宋体"/>
          <w:b/>
          <w:bCs/>
          <w:color w:val="000000"/>
          <w:sz w:val="24"/>
          <w:highlight w:val="none"/>
          <w:u w:val="single"/>
        </w:rPr>
        <w:t xml:space="preserve">双方另行协商 </w:t>
      </w:r>
      <w:r>
        <w:rPr>
          <w:rFonts w:hint="eastAsia" w:ascii="宋体" w:hAnsi="宋体" w:cs="宋体"/>
          <w:color w:val="000000"/>
          <w:sz w:val="24"/>
          <w:highlight w:val="none"/>
        </w:rPr>
        <w:t xml:space="preserve">。</w:t>
      </w:r>
      <w:r/>
    </w:p>
    <w:p>
      <w:pPr>
        <w:ind w:firstLine="42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（3）发包人违反第10.1款〔变更的范围〕第（2）项约定，自行实施被取消的工作或转由他人实施的违约责任：</w:t>
      </w:r>
      <w:r>
        <w:rPr>
          <w:rFonts w:hint="eastAsia" w:ascii="宋体" w:hAnsi="宋体" w:cs="宋体"/>
          <w:b/>
          <w:bCs/>
          <w:color w:val="000000"/>
          <w:sz w:val="24"/>
          <w:highlight w:val="none"/>
          <w:u w:val="single"/>
        </w:rPr>
        <w:t xml:space="preserve"> 双方另行协商</w:t>
      </w:r>
      <w:r>
        <w:rPr>
          <w:rFonts w:hint="eastAsia" w:ascii="宋体" w:hAnsi="宋体" w:cs="宋体"/>
          <w:color w:val="000000"/>
          <w:sz w:val="24"/>
          <w:highlight w:val="none"/>
        </w:rPr>
        <w:t xml:space="preserve">。</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b/>
          <w:bCs/>
          <w:color w:val="000000"/>
          <w:sz w:val="24"/>
          <w:highlight w:val="none"/>
          <w:u w:val="single"/>
        </w:rPr>
        <w:t xml:space="preserve"> 双方另行协商</w:t>
      </w:r>
      <w:r>
        <w:rPr>
          <w:rFonts w:hint="eastAsia" w:ascii="宋体" w:hAnsi="宋体" w:cs="宋体"/>
          <w:color w:val="000000"/>
          <w:sz w:val="24"/>
          <w:highlight w:val="none"/>
        </w:rPr>
        <w:t xml:space="preserve">。</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（5）因发包人违反合同约定造成暂停施工的违约责任：</w:t>
      </w:r>
      <w:r>
        <w:rPr>
          <w:rFonts w:hint="eastAsia" w:ascii="宋体" w:hAnsi="宋体" w:cs="宋体"/>
          <w:b/>
          <w:bCs/>
          <w:color w:val="000000"/>
          <w:sz w:val="24"/>
          <w:highlight w:val="none"/>
          <w:u w:val="single"/>
        </w:rPr>
        <w:t xml:space="preserve"> 双方另行协商</w:t>
      </w:r>
      <w:r>
        <w:rPr>
          <w:rFonts w:hint="eastAsia" w:ascii="宋体" w:hAnsi="宋体" w:cs="宋体"/>
          <w:color w:val="000000"/>
          <w:sz w:val="24"/>
          <w:highlight w:val="none"/>
        </w:rPr>
        <w:t xml:space="preserve">。</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（6）发包人无正当理由没有在约定期限内发出复工指示，导致承包人无法复工的违约责任：</w:t>
      </w:r>
      <w:r>
        <w:rPr>
          <w:rFonts w:hint="eastAsia" w:ascii="宋体" w:hAnsi="宋体" w:cs="宋体"/>
          <w:b/>
          <w:bCs/>
          <w:color w:val="000000"/>
          <w:sz w:val="24"/>
          <w:highlight w:val="none"/>
          <w:u w:val="single"/>
        </w:rPr>
        <w:t xml:space="preserve"> 双方另行协商</w:t>
      </w:r>
      <w:r>
        <w:rPr>
          <w:rFonts w:hint="eastAsia" w:ascii="宋体" w:hAnsi="宋体" w:cs="宋体"/>
          <w:color w:val="000000"/>
          <w:sz w:val="24"/>
          <w:highlight w:val="none"/>
        </w:rPr>
        <w:t xml:space="preserve">。</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（7）其他：</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16.1.3 因发包人违约解除合同</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承包人按16.1.1项〔发包人违约的情形〕约定暂停施工满</w:t>
      </w:r>
      <w:r>
        <w:rPr>
          <w:rFonts w:hint="eastAsia" w:ascii="宋体" w:hAnsi="宋体" w:cs="宋体"/>
          <w:b/>
          <w:color w:val="000000"/>
          <w:sz w:val="24"/>
          <w:highlight w:val="none"/>
          <w:u w:val="single"/>
        </w:rPr>
        <w:t xml:space="preserve"> / </w:t>
      </w:r>
      <w:r>
        <w:rPr>
          <w:rFonts w:hint="eastAsia" w:ascii="宋体" w:hAnsi="宋体" w:cs="宋体"/>
          <w:color w:val="000000"/>
          <w:sz w:val="24"/>
          <w:highlight w:val="none"/>
        </w:rPr>
        <w:t xml:space="preserve">天后发包人仍不纠正其违约行为并致使合同目的不能实现的，承包人有权解除合同。</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16.2 承包人违约</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16.2.1 承包人违约的情形</w:t>
      </w:r>
      <w:r/>
    </w:p>
    <w:p>
      <w:pPr>
        <w:ind w:left="-2"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承包人违约的其他情形：</w:t>
      </w:r>
      <w:r/>
    </w:p>
    <w:p>
      <w:pPr>
        <w:ind w:firstLine="480"/>
        <w:spacing w:line="46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（1）若因承包人原因未按发包人指定的时间开工，则按延期每天1000元向发包人支付违约金；若超过十五天（含十五天），发包人有权解除合同，全部履约保证金不予退还。</w:t>
      </w:r>
      <w:r/>
    </w:p>
    <w:p>
      <w:pPr>
        <w:ind w:firstLine="480"/>
        <w:spacing w:line="46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2）承包人必须服从发包人和监理工程师的管理监督，若施工过程中或工程竣工验收时发现由于承包人原因出现严重的安全、质量事故，或在发包人规定的整改期限内达不到整改要，或明显无法按期完工的或造成施工质量存在严重缺陷责令停工和返工，承包人拒绝返工的；则发包人有权解除合同，并限令退场，全部履约保证金不予退还，对已完工程量，按已验收合格工程量的 50%结算工程价款，还应承担赔偿发包人损失的责任。</w:t>
      </w:r>
      <w:r/>
    </w:p>
    <w:p>
      <w:pPr>
        <w:ind w:firstLine="480"/>
        <w:spacing w:line="46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（3）若承包人在施工过程中出现质量问题，除责令整改外，发包人可要求承包人根据质量问题的严重程度按每起500-2000元向发包人支付违约金，并且发包人可视情形根据本合同其他约定行使有关解除合同的权利。</w:t>
      </w:r>
      <w:r/>
    </w:p>
    <w:p>
      <w:pPr>
        <w:ind w:firstLine="482"/>
        <w:keepLines w:val="0"/>
        <w:keepNext w:val="0"/>
        <w:pageBreakBefore w:val="0"/>
        <w:spacing w:line="460" w:lineRule="exact"/>
        <w:widowControl w:val="off"/>
        <w:rPr>
          <w:rFonts w:ascii="宋体" w:hAnsi="宋体" w:cs="宋体"/>
          <w:color w:val="000000"/>
          <w:sz w:val="24"/>
          <w:highlight w:val="none"/>
          <w:u w:val="single"/>
        </w:rPr>
      </w:pPr>
      <w:r>
        <w:rPr>
          <w:rFonts w:hint="eastAsia" w:ascii="宋体" w:hAnsi="宋体" w:cs="宋体"/>
          <w:color w:val="000000"/>
          <w:sz w:val="24"/>
          <w:highlight w:val="none"/>
          <w:u w:val="single"/>
        </w:rPr>
        <w:t xml:space="preserve">（4）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 </w:t>
      </w:r>
      <w:r/>
    </w:p>
    <w:p>
      <w:pPr>
        <w:ind w:firstLine="482"/>
        <w:keepLines w:val="0"/>
        <w:keepNext w:val="0"/>
        <w:pageBreakBefore w:val="0"/>
        <w:spacing w:line="460" w:lineRule="exact"/>
        <w:widowControl w:val="off"/>
        <w:rPr>
          <w:rFonts w:ascii="宋体" w:hAnsi="宋体" w:cs="宋体"/>
          <w:b/>
          <w:color w:val="000000"/>
          <w:sz w:val="24"/>
          <w:highlight w:val="none"/>
        </w:rPr>
        <w:outlineLvl w:val="3"/>
      </w:pPr>
      <w:r>
        <w:rPr>
          <w:rFonts w:hint="eastAsia" w:ascii="宋体" w:hAnsi="宋体" w:cs="宋体"/>
          <w:color w:val="000000"/>
          <w:sz w:val="24"/>
          <w:highlight w:val="none"/>
          <w:u w:val="single"/>
        </w:rPr>
        <w:t xml:space="preserve">（5）无论任何理由，承包人未经发包人许可不得擅自停工，否则发包人有权单方面解除合同，并要求承包人限期退场，承包人接到退场通知后必须无条件退场，对已完工程量，按已验收合格工程量的 50%结算工程价款，全额履约保证金不予退还。承包人不按期退场的，每拖延一天，应向发包人支付违约金人民币 5000 元。</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16.2.2承包人违约的责任</w:t>
      </w:r>
      <w:r/>
    </w:p>
    <w:p>
      <w:pPr>
        <w:ind w:left="2" w:firstLine="477"/>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承包人违约责任的承担方式和计算方法：</w:t>
      </w:r>
      <w:r>
        <w:rPr>
          <w:rFonts w:hint="eastAsia" w:ascii="宋体" w:hAnsi="宋体" w:cs="宋体"/>
          <w:color w:val="000000"/>
          <w:sz w:val="24"/>
          <w:highlight w:val="none"/>
          <w:u w:val="single"/>
        </w:rPr>
        <w:t xml:space="preserve">由承包人按本协议约定支付违约金或赔偿发包人全部经济损失并承担相关法律责任</w:t>
      </w:r>
      <w:r/>
    </w:p>
    <w:p>
      <w:pPr>
        <w:ind w:left="2" w:firstLine="477"/>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16.2.3 因承包人违约解除合同</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关于承包人违约解除合同的特别约定：</w:t>
      </w:r>
      <w:r>
        <w:rPr>
          <w:rFonts w:hint="eastAsia" w:ascii="宋体" w:hAnsi="宋体" w:cs="宋体"/>
          <w:b/>
          <w:color w:val="000000"/>
          <w:sz w:val="24"/>
          <w:highlight w:val="none"/>
          <w:u w:val="single"/>
        </w:rPr>
        <w:t xml:space="preserve"> 按通用条款执行</w:t>
      </w:r>
      <w:r>
        <w:rPr>
          <w:rFonts w:hint="eastAsia" w:ascii="宋体" w:hAnsi="宋体" w:cs="宋体"/>
          <w:color w:val="000000"/>
          <w:sz w:val="24"/>
          <w:highlight w:val="none"/>
        </w:rPr>
        <w:t xml:space="preserve">。</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b/>
          <w:bCs/>
          <w:color w:val="000000"/>
          <w:sz w:val="24"/>
          <w:highlight w:val="none"/>
          <w:u w:val="single"/>
        </w:rPr>
        <w:t xml:space="preserve">：另行协商</w:t>
      </w:r>
      <w:r>
        <w:rPr>
          <w:rFonts w:hint="eastAsia" w:ascii="宋体" w:hAnsi="宋体" w:cs="宋体"/>
          <w:color w:val="000000"/>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17. 不可抗力 </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17.1 不可抗力的确认</w:t>
      </w:r>
      <w:r/>
    </w:p>
    <w:p>
      <w:pPr>
        <w:ind w:firstLine="480"/>
        <w:keepLines w:val="0"/>
        <w:keepNext w:val="0"/>
        <w:pageBreakBefore w:val="0"/>
        <w:spacing w:line="360" w:lineRule="auto"/>
        <w:widowControl w:val="off"/>
        <w:rPr>
          <w:rFonts w:ascii="宋体" w:hAnsi="宋体" w:cs="宋体"/>
          <w:b/>
          <w:bCs/>
          <w:sz w:val="24"/>
          <w:highlight w:val="none"/>
          <w:u w:val="single"/>
        </w:rPr>
      </w:pPr>
      <w:r>
        <w:rPr>
          <w:rFonts w:hint="eastAsia" w:ascii="宋体" w:hAnsi="宋体" w:cs="宋体"/>
          <w:bCs/>
          <w:sz w:val="24"/>
          <w:highlight w:val="none"/>
        </w:rPr>
        <w:t xml:space="preserve">除通用合同条款约定的不可抗力事件之外，视为不可抗力的其他情形：</w:t>
      </w:r>
      <w:r>
        <w:rPr>
          <w:rFonts w:hint="eastAsia" w:ascii="宋体" w:hAnsi="宋体" w:cs="宋体"/>
          <w:b/>
          <w:bCs/>
          <w:sz w:val="24"/>
          <w:highlight w:val="none"/>
          <w:u w:val="single"/>
        </w:rPr>
        <w:t xml:space="preserve">由市级以上有关部门正式发布和认定的自然灾害。</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17.4 因不可抗力解除合同</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合同解除后，发包人应在商定或确定发包人应支付款项后</w:t>
      </w:r>
      <w:r>
        <w:rPr>
          <w:rFonts w:hint="eastAsia" w:ascii="宋体" w:hAnsi="宋体" w:cs="宋体"/>
          <w:b/>
          <w:bCs/>
          <w:sz w:val="24"/>
          <w:highlight w:val="none"/>
          <w:u w:val="single"/>
        </w:rPr>
        <w:t xml:space="preserve">按通用条款</w:t>
      </w:r>
      <w:r>
        <w:rPr>
          <w:rFonts w:hint="eastAsia" w:ascii="宋体" w:hAnsi="宋体" w:cs="宋体"/>
          <w:bCs/>
          <w:sz w:val="24"/>
          <w:highlight w:val="none"/>
        </w:rPr>
        <w:t xml:space="preserve">天内完成款项的支付。</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18. 保险</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18.1 工程保险</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关于工程保险的特别约定：</w:t>
      </w:r>
      <w:r>
        <w:rPr>
          <w:rFonts w:hint="eastAsia" w:ascii="宋体" w:hAnsi="宋体" w:cs="宋体"/>
          <w:b/>
          <w:bCs/>
          <w:color w:val="000000"/>
          <w:sz w:val="24"/>
          <w:highlight w:val="none"/>
          <w:u w:val="single"/>
        </w:rPr>
        <w:t xml:space="preserve">承包人投保内容：从事危险作业职工的意外伤害险、施工场地内自有人员的生命财产险、施工机械设备的财产险、第三人人员的生命财产险、运至施工场地内用于工程的材料和待安装设备的财产险</w:t>
      </w:r>
      <w:r>
        <w:rPr>
          <w:rFonts w:hint="eastAsia" w:ascii="宋体" w:hAnsi="宋体" w:cs="宋体"/>
          <w:b/>
          <w:bCs/>
          <w:color w:val="000000"/>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18.3 其他保险</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关于其他保险的约定：</w:t>
      </w:r>
      <w:r>
        <w:rPr>
          <w:rFonts w:hint="eastAsia" w:ascii="宋体" w:hAnsi="宋体" w:cs="宋体"/>
          <w:bCs/>
          <w:sz w:val="24"/>
          <w:highlight w:val="none"/>
          <w:u w:val="single"/>
        </w:rPr>
        <w:t xml:space="preserve"> </w:t>
      </w:r>
      <w:r>
        <w:rPr>
          <w:rFonts w:hint="eastAsia" w:ascii="宋体" w:hAnsi="宋体" w:cs="宋体"/>
          <w:b/>
          <w:bCs/>
          <w:color w:val="000000"/>
          <w:sz w:val="24"/>
          <w:highlight w:val="none"/>
          <w:u w:val="single"/>
        </w:rPr>
        <w:t xml:space="preserve">承包人必须按规定办理由承包人投保的一切保险（包括但不限于工程施工期间的工程一切险、工程第三方责任险、人身意外险等）。如不办理，一切责任由承包人自行负责</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承包人是否应为其施工设备等办理财产保险：</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 是  。</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18.7 通知义务</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关于变更保险合同时的通知义务的约定：</w:t>
      </w:r>
      <w:r>
        <w:rPr>
          <w:rFonts w:hint="eastAsia" w:ascii="宋体" w:hAnsi="宋体" w:cs="宋体"/>
          <w:bCs/>
          <w:sz w:val="24"/>
          <w:highlight w:val="none"/>
          <w:u w:val="single"/>
        </w:rPr>
        <w:t xml:space="preserve"> </w:t>
      </w:r>
      <w:r>
        <w:rPr>
          <w:rFonts w:hint="eastAsia" w:ascii="宋体" w:hAnsi="宋体" w:cs="宋体"/>
          <w:b/>
          <w:bCs/>
          <w:color w:val="000000"/>
          <w:sz w:val="24"/>
          <w:highlight w:val="none"/>
          <w:u w:val="single"/>
        </w:rPr>
        <w:t xml:space="preserve">按通用条款执行</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bCs/>
          <w:sz w:val="24"/>
          <w:highlight w:val="none"/>
        </w:rPr>
        <w:t xml:space="preserve">20. 争议解决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20.3 争议评审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合同当事人是否同意将工程争议提交争议评审小组决定：</w:t>
      </w:r>
      <w:r>
        <w:rPr>
          <w:rFonts w:hint="eastAsia" w:ascii="宋体" w:hAnsi="宋体" w:cs="宋体"/>
          <w:b/>
          <w:color w:val="000000"/>
          <w:sz w:val="24"/>
          <w:highlight w:val="none"/>
          <w:u w:val="single"/>
        </w:rPr>
        <w:t xml:space="preserve"> 同意 </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20.3.1 争议评审小组的确定</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争议评审小组成员的确定：</w:t>
      </w:r>
      <w:r>
        <w:rPr>
          <w:rFonts w:hint="eastAsia" w:ascii="宋体" w:hAnsi="宋体" w:cs="宋体"/>
          <w:b/>
          <w:bCs/>
          <w:color w:val="000000"/>
          <w:sz w:val="24"/>
          <w:highlight w:val="none"/>
          <w:u w:val="single"/>
        </w:rPr>
        <w:t xml:space="preserve">按通用条款执行</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选定争议评审员的期限：</w:t>
      </w:r>
      <w:r>
        <w:rPr>
          <w:rFonts w:hint="eastAsia" w:ascii="宋体" w:hAnsi="宋体" w:cs="宋体"/>
          <w:b/>
          <w:bCs/>
          <w:color w:val="000000"/>
          <w:sz w:val="24"/>
          <w:highlight w:val="none"/>
          <w:u w:val="single"/>
        </w:rPr>
        <w:t xml:space="preserve">按通用条款执行</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争议评审小组成员的报酬承担方式：</w:t>
      </w:r>
      <w:r>
        <w:rPr>
          <w:rFonts w:hint="eastAsia" w:ascii="宋体" w:hAnsi="宋体" w:cs="宋体"/>
          <w:b/>
          <w:bCs/>
          <w:color w:val="000000"/>
          <w:sz w:val="24"/>
          <w:highlight w:val="none"/>
          <w:u w:val="single"/>
        </w:rPr>
        <w:t xml:space="preserve">按通用条款执行</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其他事项的约定：</w:t>
      </w:r>
      <w:r>
        <w:rPr>
          <w:rFonts w:hint="eastAsia" w:ascii="宋体" w:hAnsi="宋体" w:cs="宋体"/>
          <w:b/>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20.3.2 争议评审小组的决定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合同当事人关于本项的约定：</w:t>
      </w:r>
      <w:r>
        <w:rPr>
          <w:rFonts w:hint="eastAsia" w:ascii="宋体" w:hAnsi="宋体" w:cs="宋体"/>
          <w:b/>
          <w:bCs/>
          <w:color w:val="000000"/>
          <w:sz w:val="24"/>
          <w:highlight w:val="none"/>
          <w:u w:val="single"/>
        </w:rPr>
        <w:t xml:space="preserve">按通用条款执行</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20.4仲裁或诉讼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因合同及合同有关事项发生的争议，按下列第</w:t>
      </w:r>
      <w:r>
        <w:rPr>
          <w:rFonts w:hint="eastAsia" w:ascii="宋体" w:hAnsi="宋体" w:cs="宋体"/>
          <w:b/>
          <w:color w:val="000000"/>
          <w:sz w:val="24"/>
          <w:highlight w:val="none"/>
          <w:u w:val="single"/>
        </w:rPr>
        <w:t xml:space="preserve">（2）</w:t>
      </w:r>
      <w:r>
        <w:rPr>
          <w:rFonts w:hint="eastAsia" w:ascii="宋体" w:hAnsi="宋体" w:cs="宋体"/>
          <w:color w:val="000000"/>
          <w:sz w:val="24"/>
          <w:highlight w:val="none"/>
        </w:rPr>
        <w:t xml:space="preserve">种方式解决：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仲裁委员会申请仲裁；</w:t>
      </w:r>
      <w:r/>
    </w:p>
    <w:p>
      <w:pPr>
        <w:ind w:firstLine="480"/>
        <w:keepLines w:val="0"/>
        <w:keepNext w:val="0"/>
        <w:pageBreakBefore w:val="0"/>
        <w:spacing w:line="360" w:lineRule="auto"/>
        <w:widowControl w:val="off"/>
        <w:rPr>
          <w:rFonts w:ascii="宋体" w:hAnsi="宋体" w:cs="宋体"/>
          <w:bCs/>
          <w:sz w:val="24"/>
          <w:highlight w:val="none"/>
        </w:rPr>
      </w:pPr>
      <w:r>
        <w:rPr>
          <w:rFonts w:hint="eastAsia" w:ascii="宋体" w:hAnsi="宋体" w:cs="宋体"/>
          <w:color w:val="000000"/>
          <w:sz w:val="24"/>
          <w:highlight w:val="none"/>
        </w:rPr>
        <w:t xml:space="preserve">（2）向</w:t>
      </w:r>
      <w:r>
        <w:rPr>
          <w:rFonts w:hint="eastAsia" w:ascii="宋体" w:hAnsi="宋体" w:cs="宋体"/>
          <w:b/>
          <w:bCs/>
          <w:color w:val="000000"/>
          <w:sz w:val="24"/>
          <w:highlight w:val="none"/>
          <w:u w:val="single"/>
        </w:rPr>
        <w:t xml:space="preserve">工程所在地</w:t>
      </w:r>
      <w:r>
        <w:rPr>
          <w:rFonts w:hint="eastAsia" w:ascii="宋体" w:hAnsi="宋体" w:cs="宋体"/>
          <w:color w:val="000000"/>
          <w:sz w:val="24"/>
          <w:highlight w:val="none"/>
        </w:rPr>
        <w:t xml:space="preserve">人民法院起诉。</w:t>
      </w:r>
      <w:r/>
    </w:p>
    <w:p>
      <w:pPr>
        <w:ind w:firstLine="482"/>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rPr>
        <w:t xml:space="preserve">21.补充条款 </w:t>
      </w:r>
      <w:r/>
    </w:p>
    <w:p>
      <w:pPr>
        <w:ind w:firstLine="482"/>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承包人根据施工现场情况及现行规定，自行根据可行的施工方案确定报价，结算时一律不作调整。</w:t>
      </w:r>
      <w:r/>
    </w:p>
    <w:p>
      <w:pPr>
        <w:ind w:firstLine="482"/>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施工过程中涉及排污、环保、市容、城建城管、消防、治安、人口管理、居委会、派出所等相关部门收取的费用及相关手续，对临近居民、行人的影响等，夜间文明施工、保护周边地下管线和架空线的安全的费用等，投标人均应综合考虑在投标报价中，由承包人负责协调处理，竣工结算时一律不作调整。</w:t>
      </w:r>
      <w:r/>
    </w:p>
    <w:p>
      <w:pPr>
        <w:ind w:firstLine="482"/>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21.3 </w:t>
      </w:r>
      <w:r>
        <w:rPr>
          <w:rFonts w:hint="eastAsia" w:ascii="宋体" w:hAnsi="宋体" w:cs="宋体"/>
          <w:color w:val="000000"/>
          <w:sz w:val="24"/>
          <w:highlight w:val="none"/>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21.4 </w:t>
      </w:r>
      <w:r>
        <w:rPr>
          <w:rFonts w:hint="eastAsia" w:ascii="宋体" w:hAnsi="宋体" w:cs="宋体"/>
          <w:color w:val="000000"/>
          <w:sz w:val="24"/>
          <w:highlight w:val="none"/>
        </w:rPr>
        <w:t xml:space="preserve">如承包人发生上述情况而拒交违约金的，发包人有权从工程款中或履约担保金中双倍扣除。</w:t>
      </w:r>
      <w:r/>
    </w:p>
    <w:p>
      <w:pPr>
        <w:ind w:firstLine="480"/>
        <w:spacing w:line="460" w:lineRule="exact"/>
        <w:tabs>
          <w:tab w:val="left" w:pos="595"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如果工程中标后，因承包人自身的原因，未能兑现其投标时承诺条件或工程质量较差，或其工期进度严重脱节，经建设单位同意后有权终止合同，并且已完成的有效工程量只按60%计算结算或者由发包人安排其他施工单位进行施工，所发生费用直接按实际费用的2倍或以上金额从承包人合同价款中扣除，同时发包人视情节严重有权扣除部分或全部工期保证金。</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21.6 </w:t>
      </w:r>
      <w:r>
        <w:rPr>
          <w:rFonts w:hint="eastAsia" w:ascii="宋体" w:hAnsi="宋体" w:cs="宋体"/>
          <w:color w:val="000000"/>
          <w:sz w:val="24"/>
          <w:highlight w:val="none"/>
        </w:rPr>
        <w:t xml:space="preserve">承包人已充分考虑并为主做好工程实施范围内外的单位、个人和其他可能出现的阻挠施工的情况，并承担所发生的费用，发包人不再承担此类费用（行政性停工除外）。</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21.7 </w:t>
      </w:r>
      <w:r>
        <w:rPr>
          <w:rFonts w:hint="eastAsia" w:ascii="宋体" w:hAnsi="宋体" w:cs="宋体"/>
          <w:color w:val="000000"/>
          <w:sz w:val="24"/>
          <w:highlight w:val="none"/>
        </w:rPr>
        <w:t xml:space="preserve">承包人承诺在本工程施工过程中，保证做到文明、安全施工。</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21.8 </w:t>
      </w:r>
      <w:r>
        <w:rPr>
          <w:rFonts w:hint="eastAsia" w:ascii="宋体" w:hAnsi="宋体" w:cs="宋体"/>
          <w:color w:val="000000"/>
          <w:sz w:val="24"/>
          <w:highlight w:val="none"/>
        </w:rPr>
        <w:t xml:space="preserve">承包人应仔细踏勘现场，所涉及的垃圾清运等相关的费用已包含在投标总价中，结算时不再调整。</w:t>
      </w:r>
      <w:r/>
    </w:p>
    <w:p>
      <w:pPr>
        <w:ind w:firstLine="480"/>
        <w:spacing w:line="460" w:lineRule="exact"/>
        <w:rPr>
          <w:rFonts w:ascii="宋体" w:hAnsi="宋体" w:cs="宋体"/>
          <w:b/>
          <w:color w:val="000000"/>
          <w:sz w:val="24"/>
          <w:highlight w:val="none"/>
        </w:rPr>
      </w:pPr>
      <w:r>
        <w:rPr>
          <w:rFonts w:hint="eastAsia" w:ascii="宋体" w:hAnsi="宋体" w:cs="宋体"/>
          <w:color w:val="000000"/>
          <w:sz w:val="24"/>
          <w:highlight w:val="none"/>
          <w:lang w:val="en-US" w:eastAsia="zh-CN"/>
        </w:rPr>
        <w:t xml:space="preserve">21.9 </w:t>
      </w:r>
      <w:r>
        <w:rPr>
          <w:rFonts w:hint="eastAsia" w:ascii="宋体" w:hAnsi="宋体" w:cs="宋体"/>
          <w:color w:val="000000"/>
          <w:sz w:val="24"/>
          <w:highlight w:val="none"/>
        </w:rPr>
        <w:t xml:space="preserve">施工时必须无条件服从发包人及监理方的安排，不得影响主体工程的施工。</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10</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承包人不得拒绝完成发包人在施工地点范围内变更或要求增加的工程内容，如拒绝，发包人有权拒绝其文明施工措施费考评申请。</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21.12 </w:t>
      </w:r>
      <w:r>
        <w:rPr>
          <w:rFonts w:hint="eastAsia" w:ascii="宋体" w:hAnsi="宋体" w:cs="宋体"/>
          <w:color w:val="000000"/>
          <w:sz w:val="24"/>
          <w:highlight w:val="none"/>
        </w:rPr>
        <w:t xml:space="preserve">本工程清单应与施工图、招标文件、技术要求、技术规范等相结合起来阅读，除设计变更外，发包人在清单项目特征中描述不全或未列明，但承包人为满足设计图纸中该清单项目的要求而必须完成的工作，应计入工程量清单相应子目中，包含在合同价中，工程竣工结算时发包人不为此类项目另外支付费用。</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13</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若承包人在投标报价时擅自改变招标文件及清单内容，评审时未被发现，实际施工时均按招标文件及清单内容执行，结算时不予调整。</w:t>
      </w:r>
      <w:r/>
    </w:p>
    <w:p>
      <w:pPr>
        <w:ind w:firstLine="480"/>
        <w:spacing w:line="460" w:lineRule="exact"/>
        <w:tabs>
          <w:tab w:val="left" w:pos="595"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按相关管理部门的质量、安全要求施工，同时做好协调工作。</w:t>
      </w:r>
      <w:r/>
    </w:p>
    <w:p>
      <w:pPr>
        <w:ind w:firstLine="480"/>
        <w:spacing w:line="460" w:lineRule="exact"/>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21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15 </w:t>
      </w:r>
      <w:r>
        <w:rPr>
          <w:rFonts w:hint="eastAsia" w:ascii="宋体" w:hAnsi="宋体" w:cs="宋体"/>
          <w:color w:val="000000"/>
          <w:sz w:val="24"/>
          <w:highlight w:val="none"/>
        </w:rPr>
        <w:t xml:space="preserve">在工程实施过程中，承包人必须收集齐全所有隐蔽项目（包含但不限于拆除、基层、面层的铺设及厚度测量等）的影像视频资料，在送审结算资料中必须一并提交。所有签证资料必须附有详细影像彩色照片，所摄照片必须有可参照性。如影像资料未能反映清单、签证等列明的工作内容则结算时该项内容不予认可。</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16</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与其他承包商间的协调、配合、通信关系，由中标人自行解决，确保各分项工程满足设计图纸、验收规范等要求，发生的费用由中标人自行承担，并相互做好成品保护工作，并无条件接受</w:t>
      </w:r>
      <w:r>
        <w:rPr>
          <w:rFonts w:hint="eastAsia" w:ascii="宋体" w:hAnsi="宋体" w:cs="宋体"/>
          <w:color w:val="000000"/>
          <w:sz w:val="24"/>
          <w:highlight w:val="none"/>
          <w:lang w:eastAsia="zh-CN"/>
        </w:rPr>
        <w:t xml:space="preserve">发包人</w:t>
      </w:r>
      <w:r>
        <w:rPr>
          <w:rFonts w:hint="eastAsia" w:ascii="宋体" w:hAnsi="宋体" w:cs="宋体"/>
          <w:color w:val="000000"/>
          <w:sz w:val="24"/>
          <w:highlight w:val="none"/>
        </w:rPr>
        <w:t xml:space="preserve">的管理，中标人应确保各分项工程满足设计图纸、验收规范等要求，减少工序交叉施工的影响，并做好成品保护工作，招标人不再另行支付任何涉及工序交叉影响的费用。</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17</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承包人与农民工签订劳动合同，对其进行基本安全培训，并在南通市农民工实名制管理平台上登记后进场施工。发包人根据双方关于工程款支付约定及时拨付工程款。支付每笔工程款时，将每笔工程款的20%拨付到农民工资专用账户。因发包欠未按照合同约定及时拨付工程款导致农民工工资拖欠的，发包人应当以未结清的工程款为限先行垫付被拖欠的农民工工资。承包人负责每月支付农民工工资，农民工工资拨付周期不得超过1个月。若出现拖欠农民工工资情形，被行政主管部门通报或约谈的，则发包人有权按1万元-3万元/次计取违约金。</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21.18 </w:t>
      </w:r>
      <w:r>
        <w:rPr>
          <w:rFonts w:hint="eastAsia" w:ascii="宋体" w:hAnsi="宋体" w:cs="宋体"/>
          <w:color w:val="000000"/>
          <w:sz w:val="24"/>
          <w:highlight w:val="none"/>
        </w:rPr>
        <w:t xml:space="preserve">工程竣工时需做好精细化保洁，保洁范围为所有施工场地，符合发包人竣工清洁要求后方可竣工验收，相关费用含在合同价中,结算时不作调整。 </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承包人必须在施工时不得影响周边环境，并保证原有建筑结构、地面、装饰及配套设施的完整及完好，如有破坏或破损，须按不低于原标准进行修复。</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20 </w:t>
      </w:r>
      <w:r>
        <w:rPr>
          <w:rFonts w:hint="eastAsia" w:ascii="宋体" w:hAnsi="宋体" w:cs="宋体"/>
          <w:color w:val="000000"/>
          <w:sz w:val="24"/>
          <w:highlight w:val="none"/>
        </w:rPr>
        <w:t xml:space="preserve">承包人应认真踏勘施工现场，考虑因各种困难因素所发生的一切费用由投标承包人自行考虑，并在投标报价中予以体现，以后不得以此为由提出额外增加费用的要求。水、电接驳，按发包人指定地点，定量表记、接至施工现场管线由承包人自行考虑，费用包含在投标报价中。现场自来水及电源接入点现场具体位置由承包人现场踏勘。</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1.21 </w:t>
      </w:r>
      <w:r>
        <w:rPr>
          <w:rFonts w:hint="eastAsia" w:ascii="宋体" w:hAnsi="宋体" w:cs="宋体"/>
          <w:color w:val="000000"/>
          <w:sz w:val="24"/>
          <w:highlight w:val="none"/>
        </w:rPr>
        <w:t xml:space="preserve">承包人施工期间应遵守南通市妇幼保健院的有关施工管理和物业管理规定，做好每日施工场地清理、垃圾清运和保洁工作，上述费用包含在投标报价中，结算不作调整。</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lang w:val="en-US" w:eastAsia="zh-CN"/>
        </w:rPr>
        <w:t xml:space="preserve">21.22</w:t>
      </w:r>
      <w:r>
        <w:rPr>
          <w:rFonts w:hint="eastAsia" w:ascii="宋体" w:hAnsi="宋体" w:cs="宋体"/>
          <w:b w:val="0"/>
          <w:bCs w:val="0"/>
          <w:sz w:val="24"/>
          <w:highlight w:val="none"/>
          <w:lang w:eastAsia="zh-CN"/>
        </w:rPr>
        <w:t xml:space="preserve">磋商文件</w:t>
      </w:r>
      <w:r>
        <w:rPr>
          <w:rFonts w:hint="eastAsia" w:ascii="宋体" w:hAnsi="宋体" w:cs="宋体"/>
          <w:b w:val="0"/>
          <w:bCs w:val="0"/>
          <w:sz w:val="24"/>
          <w:highlight w:val="none"/>
        </w:rPr>
        <w:t xml:space="preserve">约定的内容均作为本合同的附件。</w:t>
      </w:r>
      <w:r/>
    </w:p>
    <w:p>
      <w:pPr>
        <w:ind w:firstLine="482"/>
        <w:spacing w:line="360" w:lineRule="auto"/>
        <w:rPr>
          <w:rFonts w:ascii="宋体" w:hAnsi="宋体" w:cs="宋体"/>
          <w:b/>
          <w:bCs/>
          <w:sz w:val="24"/>
          <w:highlight w:val="none"/>
          <w:u w:val="single"/>
        </w:rPr>
      </w:pPr>
      <w:r>
        <w:rPr>
          <w:rFonts w:ascii="宋体" w:hAnsi="宋体" w:cs="宋体"/>
          <w:b/>
          <w:bCs/>
          <w:sz w:val="24"/>
          <w:highlight w:val="none"/>
          <w:u w:val="single"/>
        </w:rPr>
      </w:r>
      <w:r/>
    </w:p>
    <w:p>
      <w:pPr>
        <w:jc w:val="left"/>
        <w:keepLines w:val="0"/>
        <w:keepNext w:val="0"/>
        <w:pageBreakBefore w:val="0"/>
        <w:spacing w:line="360" w:lineRule="auto"/>
        <w:widowControl w:val="off"/>
        <w:rPr>
          <w:rFonts w:ascii="宋体" w:hAnsi="宋体" w:cs="宋体"/>
          <w:b/>
          <w:bCs/>
          <w:sz w:val="24"/>
          <w:highlight w:val="none"/>
          <w:lang w:val="zh-CN"/>
        </w:rPr>
      </w:pPr>
      <w:r>
        <w:rPr>
          <w:rFonts w:hint="eastAsia" w:ascii="宋体" w:hAnsi="宋体" w:cs="宋体"/>
          <w:b/>
          <w:bCs/>
          <w:sz w:val="24"/>
          <w:highlight w:val="none"/>
          <w:lang w:val="zh-CN"/>
        </w:rPr>
        <w:t xml:space="preserve">附件</w:t>
      </w:r>
      <w:r/>
    </w:p>
    <w:p>
      <w:pPr>
        <w:jc w:val="left"/>
        <w:keepLines w:val="0"/>
        <w:keepNext w:val="0"/>
        <w:pageBreakBefore w:val="0"/>
        <w:spacing w:line="360" w:lineRule="auto"/>
        <w:widowControl w:val="off"/>
        <w:rPr>
          <w:rFonts w:ascii="宋体" w:hAnsi="宋体" w:cs="宋体"/>
          <w:sz w:val="24"/>
          <w:highlight w:val="none"/>
          <w:lang w:val="zh-CN"/>
        </w:rPr>
      </w:pPr>
      <w:r>
        <w:rPr>
          <w:rFonts w:hint="eastAsia" w:ascii="宋体" w:hAnsi="宋体" w:cs="宋体"/>
          <w:sz w:val="24"/>
          <w:highlight w:val="none"/>
          <w:lang w:val="zh-CN"/>
        </w:rPr>
        <w:t xml:space="preserve">附件1：承包人承揽工程项目一览表</w:t>
      </w:r>
      <w:r/>
    </w:p>
    <w:p>
      <w:pPr>
        <w:jc w:val="left"/>
        <w:keepLines w:val="0"/>
        <w:keepNext w:val="0"/>
        <w:pageBreakBefore w:val="0"/>
        <w:spacing w:line="360" w:lineRule="auto"/>
        <w:widowControl w:val="off"/>
        <w:rPr>
          <w:rFonts w:ascii="宋体" w:hAnsi="宋体" w:cs="宋体"/>
          <w:sz w:val="24"/>
          <w:highlight w:val="none"/>
          <w:lang w:val="zh-CN"/>
        </w:rPr>
      </w:pPr>
      <w:r>
        <w:rPr>
          <w:rFonts w:hint="eastAsia" w:ascii="宋体" w:hAnsi="宋体" w:cs="宋体"/>
          <w:sz w:val="24"/>
          <w:highlight w:val="none"/>
          <w:lang w:val="zh-CN"/>
        </w:rPr>
        <w:t xml:space="preserve">专用合同条款附件：</w:t>
      </w:r>
      <w:r/>
    </w:p>
    <w:p>
      <w:pPr>
        <w:jc w:val="left"/>
        <w:keepLines w:val="0"/>
        <w:keepNext w:val="0"/>
        <w:pageBreakBefore w:val="0"/>
        <w:spacing w:line="360" w:lineRule="auto"/>
        <w:widowControl w:val="off"/>
        <w:rPr>
          <w:rFonts w:ascii="宋体" w:hAnsi="宋体" w:cs="宋体"/>
          <w:sz w:val="24"/>
          <w:highlight w:val="none"/>
          <w:lang w:val="zh-CN"/>
        </w:rPr>
      </w:pPr>
      <w:r>
        <w:rPr>
          <w:rFonts w:hint="eastAsia" w:ascii="宋体" w:hAnsi="宋体" w:cs="宋体"/>
          <w:sz w:val="24"/>
          <w:highlight w:val="none"/>
          <w:lang w:val="zh-CN"/>
        </w:rPr>
        <w:t xml:space="preserve">附件</w:t>
      </w:r>
      <w:r>
        <w:rPr>
          <w:rFonts w:hint="eastAsia" w:ascii="宋体" w:hAnsi="宋体" w:cs="宋体"/>
          <w:sz w:val="24"/>
          <w:highlight w:val="none"/>
        </w:rPr>
        <w:t xml:space="preserve">2</w:t>
      </w:r>
      <w:r>
        <w:rPr>
          <w:rFonts w:hint="eastAsia" w:ascii="宋体" w:hAnsi="宋体" w:cs="宋体"/>
          <w:sz w:val="24"/>
          <w:highlight w:val="none"/>
          <w:lang w:val="zh-CN"/>
        </w:rPr>
        <w:t xml:space="preserve">：主要建设工程文件目录</w:t>
      </w:r>
      <w:r/>
    </w:p>
    <w:p>
      <w:pPr>
        <w:jc w:val="left"/>
        <w:keepLines w:val="0"/>
        <w:keepNext w:val="0"/>
        <w:pageBreakBefore w:val="0"/>
        <w:spacing w:line="360" w:lineRule="auto"/>
        <w:widowControl w:val="off"/>
        <w:rPr>
          <w:rFonts w:ascii="宋体" w:hAnsi="宋体" w:cs="宋体"/>
          <w:sz w:val="24"/>
          <w:highlight w:val="none"/>
          <w:lang w:val="zh-CN"/>
        </w:rPr>
      </w:pPr>
      <w:r>
        <w:rPr>
          <w:rFonts w:hint="eastAsia" w:ascii="宋体" w:hAnsi="宋体" w:cs="宋体"/>
          <w:sz w:val="24"/>
          <w:highlight w:val="none"/>
          <w:lang w:val="zh-CN"/>
        </w:rPr>
        <w:t xml:space="preserve">附件</w:t>
      </w:r>
      <w:r>
        <w:rPr>
          <w:rFonts w:hint="eastAsia" w:ascii="宋体" w:hAnsi="宋体" w:cs="宋体"/>
          <w:sz w:val="24"/>
          <w:highlight w:val="none"/>
        </w:rPr>
        <w:t xml:space="preserve">3</w:t>
      </w:r>
      <w:r>
        <w:rPr>
          <w:rFonts w:hint="eastAsia" w:ascii="宋体" w:hAnsi="宋体" w:cs="宋体"/>
          <w:sz w:val="24"/>
          <w:highlight w:val="none"/>
          <w:lang w:val="zh-CN"/>
        </w:rPr>
        <w:t xml:space="preserve">：承包人用于本工程施工的机械设备表</w:t>
      </w:r>
      <w:r/>
    </w:p>
    <w:p>
      <w:pPr>
        <w:jc w:val="left"/>
        <w:keepLines w:val="0"/>
        <w:keepNext w:val="0"/>
        <w:pageBreakBefore w:val="0"/>
        <w:spacing w:line="360" w:lineRule="auto"/>
        <w:widowControl w:val="off"/>
        <w:rPr>
          <w:rFonts w:ascii="宋体" w:hAnsi="宋体" w:cs="宋体"/>
          <w:sz w:val="24"/>
          <w:highlight w:val="none"/>
          <w:lang w:val="zh-CN"/>
        </w:rPr>
      </w:pPr>
      <w:r>
        <w:rPr>
          <w:rFonts w:hint="eastAsia" w:ascii="宋体" w:hAnsi="宋体" w:cs="宋体"/>
          <w:sz w:val="24"/>
          <w:highlight w:val="none"/>
          <w:lang w:val="zh-CN"/>
        </w:rPr>
        <w:t xml:space="preserve">附件</w:t>
      </w:r>
      <w:r>
        <w:rPr>
          <w:rFonts w:hint="eastAsia" w:ascii="宋体" w:hAnsi="宋体" w:cs="宋体"/>
          <w:sz w:val="24"/>
          <w:highlight w:val="none"/>
        </w:rPr>
        <w:t xml:space="preserve">4</w:t>
      </w:r>
      <w:r>
        <w:rPr>
          <w:rFonts w:hint="eastAsia" w:ascii="宋体" w:hAnsi="宋体" w:cs="宋体"/>
          <w:sz w:val="24"/>
          <w:highlight w:val="none"/>
          <w:lang w:val="zh-CN"/>
        </w:rPr>
        <w:t xml:space="preserve">：承包人主要施工管理人员表</w:t>
      </w:r>
      <w:r/>
    </w:p>
    <w:p>
      <w:pPr>
        <w:jc w:val="left"/>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附件5：廉政合同</w:t>
      </w:r>
      <w:r/>
    </w:p>
    <w:p>
      <w:pPr>
        <w:jc w:val="left"/>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附件6：安全生产协议书</w:t>
      </w:r>
      <w:r/>
    </w:p>
    <w:p>
      <w:pPr>
        <w:jc w:val="left"/>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附件7：工程质量保修书</w:t>
      </w:r>
      <w:r/>
    </w:p>
    <w:p>
      <w:pPr>
        <w:jc w:val="left"/>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附件8：不拖欠农民工工资的承诺</w:t>
      </w:r>
      <w:r/>
    </w:p>
    <w:p>
      <w:pPr>
        <w:pStyle w:val="680"/>
        <w:rPr>
          <w:rFonts w:ascii="宋体" w:hAnsi="宋体"/>
          <w:sz w:val="24"/>
          <w:highlight w:val="none"/>
        </w:rPr>
      </w:pPr>
      <w:r>
        <w:rPr>
          <w:highlight w:val="none"/>
        </w:rPr>
        <w:br w:type="page" w:clear="all"/>
      </w:r>
      <w:r>
        <w:rPr>
          <w:rFonts w:hint="eastAsia" w:ascii="宋体" w:hAnsi="宋体"/>
          <w:sz w:val="24"/>
          <w:highlight w:val="none"/>
        </w:rPr>
        <w:t xml:space="preserve">附件1：</w:t>
      </w:r>
      <w:r/>
    </w:p>
    <w:p>
      <w:pPr>
        <w:jc w:val="center"/>
        <w:spacing w:line="360" w:lineRule="auto"/>
        <w:rPr>
          <w:rFonts w:ascii="宋体" w:hAnsi="宋体"/>
          <w:sz w:val="24"/>
          <w:highlight w:val="none"/>
        </w:rPr>
      </w:pPr>
      <w:r>
        <w:rPr>
          <w:rFonts w:hint="eastAsia" w:ascii="宋体" w:hAnsi="宋体"/>
          <w:b/>
          <w:sz w:val="28"/>
          <w:szCs w:val="28"/>
          <w:highlight w:val="none"/>
        </w:rPr>
        <w:t xml:space="preserve">承包人承揽工程项目一览表</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855"/>
        <w:gridCol w:w="1014"/>
        <w:gridCol w:w="685"/>
        <w:gridCol w:w="856"/>
        <w:gridCol w:w="988"/>
        <w:gridCol w:w="1002"/>
        <w:gridCol w:w="907"/>
        <w:gridCol w:w="856"/>
        <w:gridCol w:w="856"/>
      </w:tblGrid>
      <w:tr>
        <w:trPr>
          <w:trHeight w:val="540"/>
        </w:trPr>
        <w:tc>
          <w:tcPr>
            <w:tcW w:w="109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单位工程名称</w:t>
            </w:r>
            <w:r/>
          </w:p>
        </w:tc>
        <w:tc>
          <w:tcPr>
            <w:tcW w:w="85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建设</w:t>
            </w:r>
            <w:r/>
          </w:p>
          <w:p>
            <w:pPr>
              <w:jc w:val="center"/>
              <w:spacing w:line="360" w:lineRule="auto"/>
              <w:rPr>
                <w:rFonts w:ascii="宋体" w:hAnsi="宋体"/>
                <w:szCs w:val="21"/>
                <w:highlight w:val="none"/>
              </w:rPr>
            </w:pPr>
            <w:r>
              <w:rPr>
                <w:rFonts w:hint="eastAsia" w:ascii="宋体" w:hAnsi="宋体"/>
                <w:szCs w:val="21"/>
                <w:highlight w:val="none"/>
              </w:rPr>
              <w:t xml:space="preserve">规模</w:t>
            </w:r>
            <w:r/>
          </w:p>
        </w:tc>
        <w:tc>
          <w:tcPr>
            <w:tcW w:w="1014"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建筑面积(㎡)</w:t>
            </w:r>
            <w:r/>
          </w:p>
        </w:tc>
        <w:tc>
          <w:tcPr>
            <w:tcW w:w="68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结构形式</w:t>
            </w:r>
            <w:r/>
          </w:p>
        </w:tc>
        <w:tc>
          <w:tcPr>
            <w:tcW w:w="85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层数</w:t>
            </w:r>
            <w:r/>
          </w:p>
        </w:tc>
        <w:tc>
          <w:tcPr>
            <w:tcW w:w="98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生产能力</w:t>
            </w:r>
            <w:r/>
          </w:p>
        </w:tc>
        <w:tc>
          <w:tcPr>
            <w:tcW w:w="1002"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设备安装内容</w:t>
            </w:r>
            <w:r/>
          </w:p>
        </w:tc>
        <w:tc>
          <w:tcPr>
            <w:tcW w:w="907"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合同价（元）</w:t>
            </w:r>
            <w:r/>
          </w:p>
        </w:tc>
        <w:tc>
          <w:tcPr>
            <w:tcW w:w="85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开工</w:t>
            </w:r>
            <w:r/>
          </w:p>
          <w:p>
            <w:pPr>
              <w:jc w:val="center"/>
              <w:spacing w:line="360" w:lineRule="auto"/>
              <w:rPr>
                <w:rFonts w:ascii="宋体" w:hAnsi="宋体"/>
                <w:szCs w:val="21"/>
                <w:highlight w:val="none"/>
              </w:rPr>
            </w:pPr>
            <w:r>
              <w:rPr>
                <w:rFonts w:hint="eastAsia" w:ascii="宋体" w:hAnsi="宋体"/>
                <w:szCs w:val="21"/>
                <w:highlight w:val="none"/>
              </w:rPr>
              <w:t xml:space="preserve">日期</w:t>
            </w:r>
            <w:r/>
          </w:p>
        </w:tc>
        <w:tc>
          <w:tcPr>
            <w:tcW w:w="85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竣工</w:t>
            </w:r>
            <w:r/>
          </w:p>
          <w:p>
            <w:pPr>
              <w:jc w:val="center"/>
              <w:spacing w:line="360" w:lineRule="auto"/>
              <w:rPr>
                <w:rFonts w:ascii="宋体" w:hAnsi="宋体"/>
                <w:szCs w:val="21"/>
                <w:highlight w:val="none"/>
              </w:rPr>
            </w:pPr>
            <w:r>
              <w:rPr>
                <w:rFonts w:hint="eastAsia" w:ascii="宋体" w:hAnsi="宋体"/>
                <w:szCs w:val="21"/>
                <w:highlight w:val="none"/>
              </w:rPr>
              <w:t xml:space="preserve">日期</w:t>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40"/>
        </w:trPr>
        <w:tc>
          <w:tcPr>
            <w:tcW w:w="109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14"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685"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88"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002"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907"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856" w:type="dxa"/>
            <w:vAlign w:val="top"/>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spacing w:line="360" w:lineRule="auto"/>
        <w:rPr>
          <w:rFonts w:ascii="宋体" w:hAnsi="宋体"/>
          <w:sz w:val="24"/>
          <w:highlight w:val="none"/>
        </w:rPr>
      </w:pPr>
      <w:r>
        <w:rPr>
          <w:rFonts w:ascii="宋体" w:hAnsi="宋体"/>
          <w:sz w:val="24"/>
          <w:highlight w:val="none"/>
        </w:rPr>
        <w:br w:type="page" w:clear="all"/>
      </w:r>
      <w:r>
        <w:rPr>
          <w:rFonts w:hint="eastAsia" w:ascii="宋体" w:hAnsi="宋体"/>
          <w:sz w:val="24"/>
          <w:highlight w:val="none"/>
        </w:rPr>
        <w:t xml:space="preserve">附件2：</w:t>
      </w:r>
      <w:r/>
    </w:p>
    <w:p>
      <w:pPr>
        <w:jc w:val="center"/>
        <w:spacing w:before="120" w:after="120" w:line="360" w:lineRule="auto"/>
        <w:rPr>
          <w:rFonts w:ascii="宋体" w:hAnsi="宋体"/>
          <w:b/>
          <w:sz w:val="32"/>
          <w:szCs w:val="32"/>
          <w:highlight w:val="none"/>
        </w:rPr>
      </w:pPr>
      <w:r>
        <w:rPr>
          <w:rFonts w:hint="eastAsia" w:ascii="宋体" w:hAnsi="宋体"/>
          <w:b/>
          <w:sz w:val="32"/>
          <w:szCs w:val="32"/>
          <w:highlight w:val="none"/>
        </w:rPr>
        <w:t xml:space="preserve">主要建设工程文件目录</w:t>
      </w:r>
      <w:r/>
    </w:p>
    <w:tbl>
      <w:tblPr>
        <w:tblStyle w:val="67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责任人</w:t>
            </w:r>
            <w:r/>
          </w:p>
        </w:tc>
      </w:tr>
      <w:tr>
        <w:trPr>
          <w:jc w:val="center"/>
          <w:trHeight w:val="567"/>
        </w:trPr>
        <w:tc>
          <w:tcPr>
            <w:tcBorders>
              <w:top w:val="single" w:color="auto" w:sz="6" w:space="0"/>
            </w:tcBorders>
            <w:tcW w:w="195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1276"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124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1667"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Borders>
              <w:top w:val="none" w:color="000000" w:sz="4" w:space="0"/>
            </w:tcBorders>
            <w:tcW w:w="195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276"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24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667"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95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76"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4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667"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95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76"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4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667"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95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76"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4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667"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95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76"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4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667"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95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76"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4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667"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95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76"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4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667"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95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667"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76"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243"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667"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95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667"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667"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667"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667"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667"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667"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667"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2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667"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Borders>
              <w:bottom w:val="single" w:color="auto" w:sz="12" w:space="0"/>
            </w:tcBorders>
            <w:tcW w:w="195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127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12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14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1667"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bl>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br w:type="page" w:clear="all"/>
      </w:r>
      <w:r>
        <w:rPr>
          <w:rFonts w:hint="eastAsia" w:ascii="宋体" w:hAnsi="宋体"/>
          <w:sz w:val="24"/>
          <w:highlight w:val="none"/>
        </w:rPr>
        <w:t xml:space="preserve">附</w:t>
      </w:r>
      <w:bookmarkStart w:id="90" w:name="_Toc296891267"/>
      <w:r/>
      <w:bookmarkStart w:id="91" w:name="_Toc296891055"/>
      <w:r/>
      <w:bookmarkStart w:id="92" w:name="_Toc296944566"/>
      <w:r/>
      <w:bookmarkStart w:id="93" w:name="_Toc296503227"/>
      <w:r/>
      <w:bookmarkStart w:id="94" w:name="_Toc267261698"/>
      <w:r/>
      <w:bookmarkStart w:id="95" w:name="_Toc296346728"/>
      <w:r/>
      <w:bookmarkStart w:id="96" w:name="_Toc296347226"/>
      <w:r>
        <w:rPr>
          <w:rFonts w:hint="eastAsia" w:ascii="宋体" w:hAnsi="宋体"/>
          <w:sz w:val="24"/>
          <w:highlight w:val="none"/>
        </w:rPr>
        <w:t xml:space="preserve">件3：</w:t>
      </w:r>
      <w:bookmarkEnd w:id="90"/>
      <w:bookmarkEnd w:id="91"/>
      <w:bookmarkEnd w:id="92"/>
      <w:bookmarkEnd w:id="93"/>
      <w:bookmarkEnd w:id="94"/>
      <w:bookmarkEnd w:id="95"/>
      <w:bookmarkEnd w:id="96"/>
      <w:r/>
    </w:p>
    <w:p>
      <w:pPr>
        <w:jc w:val="center"/>
        <w:spacing w:before="120" w:after="120" w:line="360" w:lineRule="auto"/>
        <w:rPr>
          <w:rFonts w:ascii="宋体" w:hAnsi="宋体"/>
          <w:b/>
          <w:sz w:val="32"/>
          <w:szCs w:val="32"/>
          <w:highlight w:val="none"/>
        </w:rPr>
      </w:pPr>
      <w:r>
        <w:rPr>
          <w:rFonts w:hint="eastAsia" w:ascii="宋体" w:hAnsi="宋体"/>
          <w:b/>
          <w:sz w:val="32"/>
          <w:szCs w:val="32"/>
          <w:highlight w:val="none"/>
        </w:rPr>
        <w:t xml:space="preserve">承包人用于本工程施工的机械设备表</w:t>
      </w:r>
      <w:r/>
    </w:p>
    <w:tbl>
      <w:tblPr>
        <w:tblStyle w:val="67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规格</w:t>
            </w:r>
            <w:r/>
          </w:p>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制造</w:t>
            </w:r>
            <w:r/>
          </w:p>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年份</w:t>
            </w:r>
            <w:r/>
          </w:p>
        </w:tc>
        <w:tc>
          <w:tcPr>
            <w:tcBorders>
              <w:top w:val="single" w:color="auto" w:sz="12" w:space="0"/>
              <w:bottom w:val="single" w:color="auto" w:sz="6" w:space="0"/>
            </w:tcBorders>
            <w:tcW w:w="14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额定功率</w:t>
            </w:r>
            <w:r>
              <w:rPr>
                <w:rFonts w:ascii="宋体" w:hAnsi="宋体"/>
                <w:sz w:val="24"/>
                <w:szCs w:val="22"/>
                <w:highlight w:val="none"/>
              </w:rPr>
              <w:t xml:space="preserve">(kW)</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生产</w:t>
            </w:r>
            <w:r/>
          </w:p>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能力</w:t>
            </w:r>
            <w:r/>
          </w:p>
        </w:tc>
        <w:tc>
          <w:tcPr>
            <w:tcBorders>
              <w:top w:val="single" w:color="auto" w:sz="12" w:space="0"/>
              <w:bottom w:val="single" w:color="auto" w:sz="6" w:space="0"/>
            </w:tcBorders>
            <w:tcW w:w="92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备注</w:t>
            </w:r>
            <w:r/>
          </w:p>
        </w:tc>
      </w:tr>
      <w:tr>
        <w:trPr>
          <w:jc w:val="center"/>
          <w:trHeight w:val="567"/>
        </w:trPr>
        <w:tc>
          <w:tcPr>
            <w:tcBorders>
              <w:top w:val="single" w:color="auto" w:sz="6" w:space="0"/>
            </w:tcBorders>
            <w:tcW w:w="116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8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105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8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14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single" w:color="auto" w:sz="6" w:space="0"/>
            </w:tcBorders>
            <w:tcW w:w="92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8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05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8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4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92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16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5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92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16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5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92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16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5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92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16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5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92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16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5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92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16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5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92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16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1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5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921"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16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5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5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8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8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020"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92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67"/>
        </w:trPr>
        <w:tc>
          <w:tcPr>
            <w:tcW w:w="116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1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5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921"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1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5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921"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1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5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921"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1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5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921"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1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5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921"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1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5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921"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1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5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921"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1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5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8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4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W w:w="921"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jc w:val="center"/>
          <w:trHeight w:val="567"/>
        </w:trPr>
        <w:tc>
          <w:tcPr>
            <w:tcBorders>
              <w:bottom w:val="single" w:color="auto" w:sz="12" w:space="0"/>
            </w:tcBorders>
            <w:tcW w:w="116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141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85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1058"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8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148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1020"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bottom w:val="single" w:color="auto" w:sz="12" w:space="0"/>
            </w:tcBorders>
            <w:tcW w:w="921"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bl>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宋体" w:hAnsi="宋体"/>
          <w:sz w:val="24"/>
          <w:highlight w:val="none"/>
        </w:rPr>
        <w:t xml:space="preserve">附</w:t>
      </w:r>
      <w:bookmarkStart w:id="97" w:name="_Toc267261699"/>
      <w:r/>
      <w:bookmarkStart w:id="98" w:name="_Toc296346729"/>
      <w:r/>
      <w:bookmarkStart w:id="99" w:name="_Toc296347227"/>
      <w:r/>
      <w:bookmarkStart w:id="100" w:name="_Toc296891056"/>
      <w:r/>
      <w:bookmarkStart w:id="101" w:name="_Toc296503228"/>
      <w:r/>
      <w:bookmarkStart w:id="102" w:name="_Toc296891268"/>
      <w:r/>
      <w:bookmarkStart w:id="103" w:name="_Toc296944567"/>
      <w:r>
        <w:rPr>
          <w:rFonts w:hint="eastAsia" w:ascii="宋体" w:hAnsi="宋体"/>
          <w:sz w:val="24"/>
          <w:highlight w:val="none"/>
        </w:rPr>
        <w:t xml:space="preserve">件4：</w:t>
      </w:r>
      <w:bookmarkEnd w:id="97"/>
      <w:bookmarkEnd w:id="98"/>
      <w:bookmarkEnd w:id="99"/>
      <w:bookmarkEnd w:id="100"/>
      <w:bookmarkEnd w:id="101"/>
      <w:bookmarkEnd w:id="102"/>
      <w:bookmarkEnd w:id="103"/>
      <w:r/>
    </w:p>
    <w:p>
      <w:pPr>
        <w:jc w:val="center"/>
        <w:spacing w:before="120" w:after="120" w:line="360" w:lineRule="auto"/>
        <w:rPr>
          <w:rFonts w:ascii="宋体" w:hAnsi="宋体"/>
          <w:b/>
          <w:sz w:val="32"/>
          <w:szCs w:val="32"/>
          <w:highlight w:val="none"/>
        </w:rPr>
      </w:pPr>
      <w:r>
        <w:rPr>
          <w:rFonts w:hint="eastAsia" w:ascii="宋体" w:hAnsi="宋体"/>
          <w:b/>
          <w:sz w:val="32"/>
          <w:szCs w:val="32"/>
          <w:highlight w:val="none"/>
        </w:rPr>
        <w:t xml:space="preserve">承包人主要施工管理人员表</w:t>
      </w:r>
      <w:r/>
    </w:p>
    <w:tbl>
      <w:tblPr>
        <w:tblStyle w:val="67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名</w:t>
            </w:r>
            <w:r>
              <w:rPr>
                <w:rFonts w:ascii="宋体" w:hAnsi="宋体"/>
                <w:sz w:val="24"/>
                <w:szCs w:val="22"/>
                <w:highlight w:val="none"/>
              </w:rPr>
              <w:t xml:space="preserve">    </w:t>
            </w:r>
            <w:r>
              <w:rPr>
                <w:rFonts w:hint="eastAsia" w:ascii="宋体" w:hAnsi="宋体"/>
                <w:sz w:val="24"/>
                <w:szCs w:val="22"/>
                <w:highlight w:val="none"/>
              </w:rPr>
              <w:t xml:space="preserve">称</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主要资历、经验及承担过的项目</w:t>
            </w:r>
            <w:r/>
          </w:p>
        </w:tc>
      </w:tr>
      <w:tr>
        <w:trPr>
          <w:jc w:val="center"/>
          <w:trHeight w:val="510"/>
        </w:trPr>
        <w:tc>
          <w:tcPr>
            <w:gridSpan w:val="5"/>
            <w:tcBorders>
              <w:top w:val="single" w:color="auto" w:sz="6" w:space="0"/>
            </w:tcBorders>
            <w:tcW w:w="9809"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一、总部人员</w:t>
            </w:r>
            <w:r/>
          </w:p>
        </w:tc>
      </w:tr>
      <w:tr>
        <w:trPr>
          <w:jc w:val="center"/>
          <w:trHeight w:val="510"/>
        </w:trPr>
        <w:tc>
          <w:tcPr>
            <w:tcBorders>
              <w:top w:val="none" w:color="000000" w:sz="4" w:space="0"/>
              <w:bottom w:val="none" w:color="000000" w:sz="4" w:space="0"/>
            </w:tcBorders>
            <w:tcW w:w="187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项目主管</w:t>
            </w:r>
            <w:r/>
          </w:p>
        </w:tc>
        <w:tc>
          <w:tcPr>
            <w:tcBorders>
              <w:top w:val="none" w:color="000000" w:sz="4" w:space="0"/>
            </w:tcBorders>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top w:val="none" w:color="000000" w:sz="4" w:space="0"/>
            </w:tcBorders>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vMerge w:val="restart"/>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其他人员</w:t>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vMerge w:val="continue"/>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Borders>
              <w:bottom w:val="none" w:color="000000" w:sz="4" w:space="0"/>
            </w:tcBorders>
            <w:tcW w:w="1871" w:type="dxa"/>
            <w:vAlign w:val="center"/>
            <w:vMerge w:val="continue"/>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gridSpan w:val="5"/>
            <w:tcW w:w="9809"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二、现场人员</w:t>
            </w:r>
            <w:r/>
          </w:p>
        </w:tc>
      </w:tr>
      <w:tr>
        <w:trPr>
          <w:jc w:val="center"/>
          <w:trHeight w:val="510"/>
        </w:trPr>
        <w:tc>
          <w:tcPr>
            <w:tcW w:w="187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项目经理</w:t>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项目副经理</w:t>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技术负责人</w:t>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造价管理</w:t>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质量管理</w:t>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材料管理</w:t>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计划管理</w:t>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安全管理</w:t>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vMerge w:val="restart"/>
            <w:textDirection w:val="lrTb"/>
            <w:noWrap w:val="false"/>
          </w:tcPr>
          <w:p>
            <w:pPr>
              <w:ind w:left="63" w:right="63"/>
              <w:jc w:val="center"/>
              <w:keepNext/>
              <w:spacing w:after="60" w:line="360" w:lineRule="auto"/>
              <w:rPr>
                <w:rFonts w:ascii="宋体" w:hAnsi="宋体"/>
                <w:sz w:val="24"/>
                <w:szCs w:val="22"/>
                <w:highlight w:val="none"/>
              </w:rPr>
            </w:pPr>
            <w:r>
              <w:rPr>
                <w:rFonts w:hint="eastAsia" w:ascii="宋体" w:hAnsi="宋体"/>
                <w:sz w:val="24"/>
                <w:szCs w:val="22"/>
                <w:highlight w:val="none"/>
              </w:rPr>
              <w:t xml:space="preserve">其他人员</w:t>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vMerge w:val="continue"/>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bottom w:val="none" w:color="000000" w:sz="4" w:space="0"/>
            </w:tcBorders>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bottom w:val="none" w:color="000000" w:sz="4" w:space="0"/>
            </w:tcBorders>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bottom w:val="none" w:color="000000" w:sz="4" w:space="0"/>
            </w:tcBorders>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bottom w:val="none" w:color="000000" w:sz="4" w:space="0"/>
            </w:tcBorders>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vMerge w:val="continue"/>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vMerge w:val="continue"/>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W w:w="1871" w:type="dxa"/>
            <w:vAlign w:val="center"/>
            <w:vMerge w:val="continue"/>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r>
        <w:trPr>
          <w:jc w:val="center"/>
          <w:trHeight w:val="510"/>
        </w:trPr>
        <w:tc>
          <w:tcPr>
            <w:tcBorders>
              <w:bottom w:val="single" w:color="auto" w:sz="12" w:space="0"/>
            </w:tcBorders>
            <w:tcW w:w="1871" w:type="dxa"/>
            <w:vAlign w:val="center"/>
            <w:vMerge w:val="continue"/>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bottom w:val="single" w:color="auto" w:sz="12" w:space="0"/>
            </w:tcBorders>
            <w:tcW w:w="1418"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bottom w:val="single" w:color="auto" w:sz="12" w:space="0"/>
            </w:tcBorders>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bottom w:val="single" w:color="auto" w:sz="12" w:space="0"/>
            </w:tcBorders>
            <w:tcW w:w="1134"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c>
          <w:tcPr>
            <w:tcBorders>
              <w:bottom w:val="single" w:color="auto" w:sz="12" w:space="0"/>
            </w:tcBorders>
            <w:tcW w:w="4252" w:type="dxa"/>
            <w:vAlign w:val="center"/>
            <w:textDirection w:val="lrTb"/>
            <w:noWrap w:val="false"/>
          </w:tcPr>
          <w:p>
            <w:pPr>
              <w:ind w:left="63" w:right="63"/>
              <w:jc w:val="center"/>
              <w:keepNext/>
              <w:spacing w:after="60" w:line="360" w:lineRule="auto"/>
              <w:rPr>
                <w:rFonts w:ascii="宋体" w:hAnsi="宋体"/>
                <w:sz w:val="24"/>
                <w:szCs w:val="22"/>
                <w:highlight w:val="none"/>
              </w:rPr>
            </w:pPr>
            <w:r>
              <w:rPr>
                <w:rFonts w:ascii="宋体" w:hAnsi="宋体"/>
                <w:sz w:val="24"/>
                <w:szCs w:val="22"/>
                <w:highlight w:val="none"/>
              </w:rPr>
            </w:r>
            <w:r/>
          </w:p>
        </w:tc>
      </w:tr>
    </w:tbl>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ind w:right="-233"/>
        <w:spacing w:line="360" w:lineRule="auto"/>
        <w:rPr>
          <w:rFonts w:ascii="宋体" w:hAnsi="宋体"/>
          <w:b/>
          <w:bCs/>
          <w:sz w:val="36"/>
          <w:highlight w:val="none"/>
        </w:rPr>
      </w:pPr>
      <w:r>
        <w:rPr>
          <w:rFonts w:hint="eastAsia" w:ascii="宋体" w:hAnsi="宋体"/>
          <w:sz w:val="24"/>
          <w:highlight w:val="none"/>
        </w:rPr>
        <w:t xml:space="preserve">附件5：</w:t>
      </w:r>
      <w:r/>
    </w:p>
    <w:p>
      <w:pPr>
        <w:jc w:val="center"/>
        <w:spacing w:line="360" w:lineRule="auto"/>
        <w:rPr>
          <w:rFonts w:ascii="宋体" w:hAnsi="宋体"/>
          <w:sz w:val="32"/>
          <w:szCs w:val="32"/>
          <w:highlight w:val="none"/>
        </w:rPr>
      </w:pPr>
      <w:r>
        <w:rPr>
          <w:rFonts w:hint="eastAsia" w:ascii="宋体" w:hAnsi="宋体"/>
          <w:sz w:val="32"/>
          <w:szCs w:val="32"/>
          <w:highlight w:val="none"/>
        </w:rPr>
        <w:t xml:space="preserve">建设工程廉政责任书</w:t>
      </w:r>
      <w:r/>
    </w:p>
    <w:p>
      <w:pPr>
        <w:ind w:firstLine="420"/>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ascii="宋体" w:hAnsi="宋体"/>
          <w:sz w:val="24"/>
          <w:highlight w:val="none"/>
        </w:rPr>
      </w:pPr>
      <w:r>
        <w:rPr>
          <w:rFonts w:hint="eastAsia" w:ascii="宋体" w:hAnsi="宋体"/>
          <w:sz w:val="24"/>
          <w:highlight w:val="none"/>
        </w:rPr>
        <w:t xml:space="preserve">发包人：</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b/>
          <w:sz w:val="24"/>
          <w:highlight w:val="none"/>
          <w:u w:val="single"/>
        </w:rPr>
        <w:t xml:space="preserve">南通市妇幼保健院</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p>
    <w:p>
      <w:pPr>
        <w:spacing w:line="360" w:lineRule="auto"/>
        <w:rPr>
          <w:rFonts w:ascii="宋体" w:hAnsi="宋体"/>
          <w:sz w:val="24"/>
          <w:highlight w:val="none"/>
        </w:rPr>
      </w:pPr>
      <w:r>
        <w:rPr>
          <w:rFonts w:hint="eastAsia" w:ascii="宋体" w:hAnsi="宋体"/>
          <w:sz w:val="24"/>
          <w:highlight w:val="none"/>
        </w:rPr>
        <w:t xml:space="preserve">承包人：</w:t>
      </w:r>
      <w:r>
        <w:rPr>
          <w:rFonts w:hint="eastAsia" w:ascii="宋体" w:hAnsi="宋体"/>
          <w:sz w:val="24"/>
          <w:highlight w:val="none"/>
          <w:u w:val="single"/>
        </w:rPr>
        <w:t xml:space="preserve">                                      </w:t>
      </w:r>
      <w:r/>
    </w:p>
    <w:p>
      <w:pPr>
        <w:ind w:firstLine="420"/>
        <w:spacing w:line="360" w:lineRule="auto"/>
        <w:rPr>
          <w:rFonts w:ascii="宋体" w:hAnsi="宋体"/>
          <w:sz w:val="24"/>
          <w:highlight w:val="none"/>
        </w:rPr>
      </w:pPr>
      <w:r>
        <w:rPr>
          <w:rFonts w:hint="eastAsia" w:ascii="宋体" w:hAnsi="宋体"/>
          <w:sz w:val="24"/>
          <w:highlight w:val="none"/>
        </w:rPr>
        <w:t xml:space="preserve">一、双方的责任</w:t>
      </w:r>
      <w:r/>
    </w:p>
    <w:p>
      <w:pPr>
        <w:ind w:firstLine="420"/>
        <w:spacing w:line="360" w:lineRule="auto"/>
        <w:rPr>
          <w:rFonts w:ascii="宋体" w:hAnsi="宋体"/>
          <w:sz w:val="24"/>
          <w:highlight w:val="none"/>
        </w:rPr>
      </w:pPr>
      <w:r>
        <w:rPr>
          <w:rFonts w:hint="eastAsia" w:ascii="宋体" w:hAnsi="宋体"/>
          <w:sz w:val="24"/>
          <w:highlight w:val="none"/>
        </w:rPr>
        <w:t xml:space="preserve">1.1应严格遵守国家关于建设工程的有关法律、法规，相关政策，以及廉政建设的各项规定。</w:t>
      </w:r>
      <w:r/>
    </w:p>
    <w:p>
      <w:pPr>
        <w:ind w:firstLine="420"/>
        <w:spacing w:line="360" w:lineRule="auto"/>
        <w:rPr>
          <w:rFonts w:ascii="宋体" w:hAnsi="宋体"/>
          <w:sz w:val="24"/>
          <w:highlight w:val="none"/>
        </w:rPr>
      </w:pPr>
      <w:r>
        <w:rPr>
          <w:rFonts w:hint="eastAsia" w:ascii="宋体" w:hAnsi="宋体"/>
          <w:sz w:val="24"/>
          <w:highlight w:val="none"/>
        </w:rPr>
        <w:t xml:space="preserve">1.2严格执行建设工程合同文件，自觉按合同办事。</w:t>
      </w:r>
      <w:r/>
    </w:p>
    <w:p>
      <w:pPr>
        <w:ind w:firstLine="420"/>
        <w:spacing w:line="360" w:lineRule="auto"/>
        <w:rPr>
          <w:rFonts w:ascii="宋体" w:hAnsi="宋体"/>
          <w:sz w:val="24"/>
          <w:highlight w:val="none"/>
        </w:rPr>
      </w:pPr>
      <w:r>
        <w:rPr>
          <w:rFonts w:hint="eastAsia" w:ascii="宋体" w:hAnsi="宋体"/>
          <w:sz w:val="24"/>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ascii="宋体" w:hAnsi="宋体"/>
          <w:sz w:val="24"/>
          <w:highlight w:val="none"/>
        </w:rPr>
      </w:pPr>
      <w:r>
        <w:rPr>
          <w:rFonts w:hint="eastAsia" w:ascii="宋体" w:hAnsi="宋体"/>
          <w:sz w:val="24"/>
          <w:highlight w:val="none"/>
        </w:rPr>
        <w:t xml:space="preserve">1.4发现对方在业务活动中有违规、违纪、违法行为的，应及时提醒对方，情节严重的，应向其上级主管部门或纪检监察、司法等有关机关举报。</w:t>
      </w:r>
      <w:r/>
    </w:p>
    <w:p>
      <w:pPr>
        <w:ind w:firstLine="420"/>
        <w:spacing w:line="360" w:lineRule="auto"/>
        <w:rPr>
          <w:rFonts w:ascii="宋体" w:hAnsi="宋体"/>
          <w:sz w:val="24"/>
          <w:highlight w:val="none"/>
        </w:rPr>
      </w:pPr>
      <w:r>
        <w:rPr>
          <w:rFonts w:hint="eastAsia" w:ascii="宋体" w:hAnsi="宋体"/>
          <w:sz w:val="24"/>
          <w:highlight w:val="none"/>
        </w:rPr>
        <w:t xml:space="preserve">二、发包人责任</w:t>
      </w:r>
      <w:r/>
    </w:p>
    <w:p>
      <w:pPr>
        <w:ind w:firstLine="420"/>
        <w:spacing w:line="360" w:lineRule="auto"/>
        <w:rPr>
          <w:rFonts w:ascii="宋体" w:hAnsi="宋体"/>
          <w:sz w:val="24"/>
          <w:highlight w:val="none"/>
        </w:rPr>
      </w:pPr>
      <w:r>
        <w:rPr>
          <w:rFonts w:hint="eastAsia" w:ascii="宋体" w:hAnsi="宋体"/>
          <w:sz w:val="24"/>
          <w:highlight w:val="none"/>
        </w:rPr>
        <w:t xml:space="preserve">发包人的领导和从事该建设工程项目的工作人员，在工程建设的事前、事中、事后应遵守以下规定：</w:t>
      </w:r>
      <w:r/>
    </w:p>
    <w:p>
      <w:pPr>
        <w:ind w:firstLine="420"/>
        <w:spacing w:line="360" w:lineRule="auto"/>
        <w:rPr>
          <w:rFonts w:ascii="宋体" w:hAnsi="宋体"/>
          <w:sz w:val="24"/>
          <w:highlight w:val="none"/>
        </w:rPr>
      </w:pPr>
      <w:r>
        <w:rPr>
          <w:rFonts w:hint="eastAsia" w:ascii="宋体" w:hAnsi="宋体"/>
          <w:sz w:val="24"/>
          <w:highlight w:val="none"/>
        </w:rPr>
        <w:t xml:space="preserve">2.1不得向承包人和相关单位索要或接受回扣、礼金、有价证券、贵重物品和好处费、感谢费等。</w:t>
      </w:r>
      <w:r/>
    </w:p>
    <w:p>
      <w:pPr>
        <w:ind w:firstLine="420"/>
        <w:spacing w:line="360" w:lineRule="auto"/>
        <w:rPr>
          <w:rFonts w:ascii="宋体" w:hAnsi="宋体"/>
          <w:sz w:val="24"/>
          <w:highlight w:val="none"/>
        </w:rPr>
      </w:pPr>
      <w:r>
        <w:rPr>
          <w:rFonts w:hint="eastAsia" w:ascii="宋体" w:hAnsi="宋体"/>
          <w:sz w:val="24"/>
          <w:highlight w:val="none"/>
        </w:rPr>
        <w:t xml:space="preserve">2.2不得在承包人和相关单位报销任何应由发包人或个人支付的费用。</w:t>
      </w:r>
      <w:r/>
    </w:p>
    <w:p>
      <w:pPr>
        <w:ind w:firstLine="420"/>
        <w:spacing w:line="360" w:lineRule="auto"/>
        <w:rPr>
          <w:rFonts w:ascii="宋体" w:hAnsi="宋体"/>
          <w:sz w:val="24"/>
          <w:highlight w:val="none"/>
        </w:rPr>
      </w:pPr>
      <w:r>
        <w:rPr>
          <w:rFonts w:hint="eastAsia" w:ascii="宋体" w:hAnsi="宋体"/>
          <w:sz w:val="24"/>
          <w:highlight w:val="none"/>
        </w:rPr>
        <w:t xml:space="preserve">2.3不得要求、暗示或接受承包人和相关单位为个人装修住房、婚丧嫁娶、配偶子女的工作安排以及出国(境)、旅游等提供方便。</w:t>
      </w:r>
      <w:r/>
    </w:p>
    <w:p>
      <w:pPr>
        <w:ind w:firstLine="420"/>
        <w:spacing w:line="360" w:lineRule="auto"/>
        <w:rPr>
          <w:rFonts w:ascii="宋体" w:hAnsi="宋体"/>
          <w:sz w:val="24"/>
          <w:highlight w:val="none"/>
        </w:rPr>
      </w:pPr>
      <w:r>
        <w:rPr>
          <w:rFonts w:hint="eastAsia" w:ascii="宋体" w:hAnsi="宋体"/>
          <w:sz w:val="24"/>
          <w:highlight w:val="none"/>
        </w:rPr>
        <w:t xml:space="preserve">2.4不得参加有可能影响公正执行公务的承包人和相关单位的宴请、健身、娱乐等活动。</w:t>
      </w:r>
      <w:r/>
    </w:p>
    <w:p>
      <w:pPr>
        <w:ind w:firstLine="420"/>
        <w:spacing w:line="360" w:lineRule="auto"/>
        <w:rPr>
          <w:rFonts w:ascii="宋体" w:hAnsi="宋体"/>
          <w:sz w:val="24"/>
          <w:highlight w:val="none"/>
        </w:rPr>
      </w:pPr>
      <w:r>
        <w:rPr>
          <w:rFonts w:hint="eastAsia" w:ascii="宋体" w:hAnsi="宋体"/>
          <w:sz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ascii="宋体" w:hAnsi="宋体"/>
          <w:sz w:val="24"/>
          <w:highlight w:val="none"/>
        </w:rPr>
      </w:pPr>
      <w:r>
        <w:rPr>
          <w:rFonts w:hint="eastAsia" w:ascii="宋体" w:hAnsi="宋体"/>
          <w:sz w:val="24"/>
          <w:highlight w:val="none"/>
        </w:rPr>
        <w:t xml:space="preserve">三、承包人责任</w:t>
      </w:r>
      <w:r/>
    </w:p>
    <w:p>
      <w:pPr>
        <w:ind w:firstLine="420"/>
        <w:spacing w:line="360" w:lineRule="auto"/>
        <w:rPr>
          <w:rFonts w:ascii="宋体" w:hAnsi="宋体"/>
          <w:sz w:val="24"/>
          <w:highlight w:val="none"/>
        </w:rPr>
      </w:pPr>
      <w:r>
        <w:rPr>
          <w:rFonts w:hint="eastAsia" w:ascii="宋体" w:hAnsi="宋体"/>
          <w:sz w:val="24"/>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ascii="宋体" w:hAnsi="宋体"/>
          <w:sz w:val="24"/>
          <w:highlight w:val="none"/>
        </w:rPr>
      </w:pPr>
      <w:r>
        <w:rPr>
          <w:rFonts w:hint="eastAsia" w:ascii="宋体" w:hAnsi="宋体"/>
          <w:sz w:val="24"/>
          <w:highlight w:val="none"/>
        </w:rPr>
        <w:t xml:space="preserve">3.1不得以任何理由向发包人及其工作人员索要、接受或赠送礼金、有价证券、贵重物品及回扣、好处费、感谢费等。</w:t>
      </w:r>
      <w:r/>
    </w:p>
    <w:p>
      <w:pPr>
        <w:ind w:firstLine="420"/>
        <w:spacing w:line="360" w:lineRule="auto"/>
        <w:rPr>
          <w:rFonts w:ascii="宋体" w:hAnsi="宋体"/>
          <w:sz w:val="24"/>
          <w:highlight w:val="none"/>
        </w:rPr>
      </w:pPr>
      <w:r>
        <w:rPr>
          <w:rFonts w:hint="eastAsia" w:ascii="宋体" w:hAnsi="宋体"/>
          <w:sz w:val="24"/>
          <w:highlight w:val="none"/>
        </w:rPr>
        <w:t xml:space="preserve">3.2不得以任何理由为发包人和相关单位报销应由对方或个人支付的费用。</w:t>
      </w:r>
      <w:r/>
    </w:p>
    <w:p>
      <w:pPr>
        <w:ind w:firstLine="420"/>
        <w:spacing w:line="360" w:lineRule="auto"/>
        <w:rPr>
          <w:rFonts w:ascii="宋体" w:hAnsi="宋体"/>
          <w:sz w:val="24"/>
          <w:highlight w:val="none"/>
        </w:rPr>
      </w:pPr>
      <w:r>
        <w:rPr>
          <w:rFonts w:hint="eastAsia" w:ascii="宋体" w:hAnsi="宋体"/>
          <w:sz w:val="24"/>
          <w:highlight w:val="none"/>
        </w:rPr>
        <w:t xml:space="preserve">3.3不得接受或暗示为发包人、相关单位或个人装修住房、婚丧嫁娶、配偶子女的工作安排以及出国(境)、旅游等提供方便。</w:t>
      </w:r>
      <w:r/>
    </w:p>
    <w:p>
      <w:pPr>
        <w:ind w:firstLine="420"/>
        <w:spacing w:line="360" w:lineRule="auto"/>
        <w:rPr>
          <w:rFonts w:ascii="宋体" w:hAnsi="宋体"/>
          <w:sz w:val="24"/>
          <w:highlight w:val="none"/>
        </w:rPr>
      </w:pPr>
      <w:r>
        <w:rPr>
          <w:rFonts w:hint="eastAsia" w:ascii="宋体" w:hAnsi="宋体"/>
          <w:sz w:val="24"/>
          <w:highlight w:val="none"/>
        </w:rPr>
        <w:t xml:space="preserve">3.4不得以任何理由为发包人、相关单位或个人组织有可能影响公正执行公务的宴请、健身、娱乐等活动。</w:t>
      </w:r>
      <w:r/>
    </w:p>
    <w:p>
      <w:pPr>
        <w:ind w:firstLine="420"/>
        <w:spacing w:line="360" w:lineRule="auto"/>
        <w:rPr>
          <w:rFonts w:ascii="宋体" w:hAnsi="宋体"/>
          <w:sz w:val="24"/>
          <w:highlight w:val="none"/>
        </w:rPr>
      </w:pPr>
      <w:r>
        <w:rPr>
          <w:rFonts w:hint="eastAsia" w:ascii="宋体" w:hAnsi="宋体"/>
          <w:sz w:val="24"/>
          <w:highlight w:val="none"/>
        </w:rPr>
        <w:t xml:space="preserve">四、违约责任</w:t>
      </w:r>
      <w:r/>
    </w:p>
    <w:p>
      <w:pPr>
        <w:ind w:firstLine="420"/>
        <w:spacing w:line="360" w:lineRule="auto"/>
        <w:rPr>
          <w:rFonts w:ascii="宋体" w:hAnsi="宋体"/>
          <w:sz w:val="24"/>
          <w:highlight w:val="none"/>
        </w:rPr>
      </w:pPr>
      <w:r>
        <w:rPr>
          <w:rFonts w:hint="eastAsia" w:ascii="宋体" w:hAnsi="宋体"/>
          <w:sz w:val="24"/>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ascii="宋体" w:hAnsi="宋体"/>
          <w:sz w:val="24"/>
          <w:highlight w:val="none"/>
        </w:rPr>
      </w:pPr>
      <w:r>
        <w:rPr>
          <w:rFonts w:hint="eastAsia" w:ascii="宋体" w:hAnsi="宋体"/>
          <w:sz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ascii="宋体" w:hAnsi="宋体"/>
          <w:sz w:val="24"/>
          <w:highlight w:val="none"/>
        </w:rPr>
      </w:pPr>
      <w:r>
        <w:rPr>
          <w:rFonts w:hint="eastAsia" w:ascii="宋体" w:hAnsi="宋体"/>
          <w:sz w:val="24"/>
          <w:highlight w:val="none"/>
        </w:rPr>
        <w:t xml:space="preserve">4.3本责任书作为建设工程合同的组成部分，与建设工程合同具有同等法律效力。经双方签署后立即生效。</w:t>
      </w:r>
      <w:r/>
    </w:p>
    <w:p>
      <w:pPr>
        <w:ind w:firstLine="420"/>
        <w:spacing w:line="360" w:lineRule="auto"/>
        <w:rPr>
          <w:rFonts w:ascii="宋体" w:hAnsi="宋体"/>
          <w:sz w:val="24"/>
          <w:highlight w:val="none"/>
        </w:rPr>
      </w:pPr>
      <w:r>
        <w:rPr>
          <w:rFonts w:hint="eastAsia" w:ascii="宋体" w:hAnsi="宋体"/>
          <w:sz w:val="24"/>
          <w:highlight w:val="none"/>
        </w:rPr>
        <w:t xml:space="preserve">五、责任书有效期</w:t>
      </w:r>
      <w:r/>
    </w:p>
    <w:p>
      <w:pPr>
        <w:ind w:firstLine="420"/>
        <w:spacing w:line="360" w:lineRule="auto"/>
        <w:rPr>
          <w:rFonts w:ascii="宋体" w:hAnsi="宋体"/>
          <w:sz w:val="24"/>
          <w:highlight w:val="none"/>
        </w:rPr>
      </w:pPr>
      <w:r>
        <w:rPr>
          <w:rFonts w:hint="eastAsia" w:ascii="宋体" w:hAnsi="宋体"/>
          <w:sz w:val="24"/>
          <w:highlight w:val="none"/>
        </w:rPr>
        <w:t xml:space="preserve">本责任书的有效期为双方签署之日起至该工程项目竣工验收合格时止。</w:t>
      </w:r>
      <w:r/>
    </w:p>
    <w:p>
      <w:pPr>
        <w:ind w:firstLine="420"/>
        <w:spacing w:line="360" w:lineRule="auto"/>
        <w:rPr>
          <w:rFonts w:ascii="宋体" w:hAnsi="宋体"/>
          <w:sz w:val="24"/>
          <w:highlight w:val="none"/>
        </w:rPr>
      </w:pPr>
      <w:r>
        <w:rPr>
          <w:rFonts w:hint="eastAsia" w:ascii="宋体" w:hAnsi="宋体"/>
          <w:sz w:val="24"/>
          <w:highlight w:val="none"/>
        </w:rPr>
        <w:t xml:space="preserve">六、责任书份数</w:t>
      </w:r>
      <w:r/>
    </w:p>
    <w:p>
      <w:pPr>
        <w:ind w:firstLine="420"/>
        <w:spacing w:line="360" w:lineRule="auto"/>
        <w:rPr>
          <w:rFonts w:ascii="宋体" w:hAnsi="宋体"/>
          <w:sz w:val="24"/>
          <w:highlight w:val="none"/>
        </w:rPr>
      </w:pPr>
      <w:r>
        <w:rPr>
          <w:rFonts w:hint="eastAsia" w:ascii="宋体" w:hAnsi="宋体"/>
          <w:sz w:val="24"/>
          <w:highlight w:val="none"/>
        </w:rPr>
        <w:t xml:space="preserve">本责任书一式二份，发包人承包人各执一份，具有同等效力。</w:t>
      </w:r>
      <w:r/>
    </w:p>
    <w:p>
      <w:pPr>
        <w:pStyle w:val="680"/>
        <w:rPr>
          <w:highlight w:val="none"/>
        </w:rPr>
      </w:pPr>
      <w:r>
        <w:rPr>
          <w:highlight w:val="none"/>
        </w:rPr>
      </w:r>
      <w:r/>
    </w:p>
    <w:p>
      <w:pPr>
        <w:pStyle w:val="680"/>
        <w:rPr>
          <w:highlight w:val="none"/>
        </w:rPr>
      </w:pPr>
      <w:r>
        <w:rPr>
          <w:highlight w:val="none"/>
        </w:rPr>
      </w:r>
      <w:r/>
    </w:p>
    <w:p>
      <w:pPr>
        <w:ind w:firstLine="420"/>
        <w:spacing w:line="360" w:lineRule="auto"/>
        <w:rPr>
          <w:rFonts w:ascii="宋体" w:hAnsi="宋体"/>
          <w:sz w:val="24"/>
          <w:highlight w:val="none"/>
        </w:rPr>
      </w:pPr>
      <w:r>
        <w:rPr>
          <w:rFonts w:hint="eastAsia" w:ascii="宋体" w:hAnsi="宋体"/>
          <w:sz w:val="24"/>
          <w:highlight w:val="none"/>
        </w:rPr>
        <w:t xml:space="preserve">发包人：</w:t>
      </w:r>
      <w:r>
        <w:rPr>
          <w:rFonts w:hint="eastAsia" w:ascii="宋体" w:hAnsi="宋体"/>
          <w:sz w:val="24"/>
          <w:highlight w:val="none"/>
          <w:u w:val="single"/>
        </w:rPr>
        <w:t xml:space="preserve">                   </w:t>
      </w:r>
      <w:r>
        <w:rPr>
          <w:rFonts w:hint="eastAsia" w:ascii="宋体" w:hAnsi="宋体"/>
          <w:sz w:val="24"/>
          <w:highlight w:val="none"/>
        </w:rPr>
        <w:t xml:space="preserve">(公章)   承包人：</w:t>
      </w:r>
      <w:r>
        <w:rPr>
          <w:rFonts w:hint="eastAsia" w:ascii="宋体" w:hAnsi="宋体"/>
          <w:sz w:val="24"/>
          <w:highlight w:val="none"/>
          <w:u w:val="single"/>
        </w:rPr>
        <w:t xml:space="preserve">                   </w:t>
      </w:r>
      <w:r>
        <w:rPr>
          <w:rFonts w:hint="eastAsia" w:ascii="宋体" w:hAnsi="宋体"/>
          <w:sz w:val="24"/>
          <w:highlight w:val="none"/>
        </w:rPr>
        <w:t xml:space="preserve"> (公章)</w:t>
      </w:r>
      <w:r/>
    </w:p>
    <w:p>
      <w:pPr>
        <w:ind w:firstLine="420"/>
        <w:spacing w:line="360" w:lineRule="auto"/>
        <w:rPr>
          <w:rFonts w:ascii="宋体" w:hAnsi="宋体"/>
          <w:sz w:val="24"/>
          <w:highlight w:val="none"/>
        </w:rPr>
      </w:pPr>
      <w:r>
        <w:rPr>
          <w:rFonts w:hint="eastAsia" w:ascii="宋体" w:hAnsi="宋体"/>
          <w:sz w:val="24"/>
          <w:highlight w:val="none"/>
        </w:rPr>
        <w:t xml:space="preserve">法定地址：</w:t>
      </w:r>
      <w:r>
        <w:rPr>
          <w:rFonts w:hint="eastAsia" w:ascii="宋体" w:hAnsi="宋体"/>
          <w:sz w:val="24"/>
          <w:highlight w:val="none"/>
          <w:u w:val="single"/>
        </w:rPr>
        <w:t xml:space="preserve">                   </w:t>
      </w:r>
      <w:r>
        <w:rPr>
          <w:rFonts w:hint="eastAsia" w:ascii="宋体" w:hAnsi="宋体"/>
          <w:sz w:val="24"/>
          <w:highlight w:val="none"/>
        </w:rPr>
        <w:t xml:space="preserve">       法定地址：</w:t>
      </w:r>
      <w:r>
        <w:rPr>
          <w:rFonts w:hint="eastAsia" w:ascii="宋体" w:hAnsi="宋体"/>
          <w:sz w:val="24"/>
          <w:highlight w:val="none"/>
          <w:u w:val="single"/>
        </w:rPr>
        <w:t xml:space="preserve">                   </w:t>
      </w:r>
      <w:r/>
    </w:p>
    <w:p>
      <w:pPr>
        <w:ind w:firstLine="420"/>
        <w:spacing w:line="360" w:lineRule="auto"/>
        <w:rPr>
          <w:rFonts w:ascii="宋体" w:hAnsi="宋体"/>
          <w:sz w:val="24"/>
          <w:highlight w:val="none"/>
        </w:rPr>
      </w:pPr>
      <w:r>
        <w:rPr>
          <w:rFonts w:hint="eastAsia" w:ascii="宋体" w:hAnsi="宋体"/>
          <w:sz w:val="24"/>
          <w:highlight w:val="none"/>
        </w:rPr>
        <w:t xml:space="preserve">法定代表人或其                      法定代表人或其</w:t>
      </w:r>
      <w:r/>
    </w:p>
    <w:p>
      <w:pPr>
        <w:ind w:firstLine="420"/>
        <w:spacing w:line="360" w:lineRule="auto"/>
        <w:rPr>
          <w:rFonts w:ascii="宋体" w:hAnsi="宋体"/>
          <w:sz w:val="24"/>
          <w:highlight w:val="none"/>
        </w:rPr>
      </w:pPr>
      <w:r>
        <w:rPr>
          <w:rFonts w:hint="eastAsia" w:ascii="宋体" w:hAnsi="宋体"/>
          <w:sz w:val="24"/>
          <w:highlight w:val="none"/>
        </w:rPr>
        <w:t xml:space="preserve">委托代理人：</w:t>
      </w:r>
      <w:r>
        <w:rPr>
          <w:rFonts w:hint="eastAsia" w:ascii="宋体" w:hAnsi="宋体"/>
          <w:sz w:val="24"/>
          <w:highlight w:val="none"/>
          <w:u w:val="single"/>
        </w:rPr>
        <w:t xml:space="preserve">               </w:t>
      </w:r>
      <w:r>
        <w:rPr>
          <w:rFonts w:hint="eastAsia" w:ascii="宋体" w:hAnsi="宋体"/>
          <w:sz w:val="24"/>
          <w:highlight w:val="none"/>
        </w:rPr>
        <w:t xml:space="preserve">(签字)   委托代理人：</w:t>
      </w:r>
      <w:r>
        <w:rPr>
          <w:rFonts w:hint="eastAsia" w:ascii="宋体" w:hAnsi="宋体"/>
          <w:sz w:val="24"/>
          <w:highlight w:val="none"/>
          <w:u w:val="single"/>
        </w:rPr>
        <w:t xml:space="preserve">                </w:t>
      </w:r>
      <w:r>
        <w:rPr>
          <w:rFonts w:hint="eastAsia" w:ascii="宋体" w:hAnsi="宋体"/>
          <w:sz w:val="24"/>
          <w:highlight w:val="none"/>
        </w:rPr>
        <w:t xml:space="preserve"> (签字)</w:t>
      </w:r>
      <w:r/>
    </w:p>
    <w:p>
      <w:pPr>
        <w:ind w:firstLine="420"/>
        <w:spacing w:line="360" w:lineRule="auto"/>
        <w:rPr>
          <w:rFonts w:ascii="宋体" w:hAnsi="宋体"/>
          <w:sz w:val="24"/>
          <w:highlight w:val="none"/>
        </w:rPr>
      </w:pPr>
      <w:r>
        <w:rPr>
          <w:rFonts w:hint="eastAsia" w:ascii="宋体" w:hAnsi="宋体"/>
          <w:sz w:val="24"/>
          <w:highlight w:val="none"/>
        </w:rPr>
        <w:t xml:space="preserve">电话：</w:t>
      </w:r>
      <w:r>
        <w:rPr>
          <w:rFonts w:hint="eastAsia" w:ascii="宋体" w:hAnsi="宋体"/>
          <w:sz w:val="24"/>
          <w:highlight w:val="none"/>
          <w:u w:val="single"/>
        </w:rPr>
        <w:t xml:space="preserve">                       </w:t>
      </w:r>
      <w:r>
        <w:rPr>
          <w:rFonts w:hint="eastAsia" w:ascii="宋体" w:hAnsi="宋体"/>
          <w:sz w:val="24"/>
          <w:highlight w:val="none"/>
        </w:rPr>
        <w:t xml:space="preserve">       电话：</w:t>
      </w:r>
      <w:r>
        <w:rPr>
          <w:rFonts w:hint="eastAsia" w:ascii="宋体" w:hAnsi="宋体"/>
          <w:sz w:val="24"/>
          <w:highlight w:val="none"/>
          <w:u w:val="single"/>
        </w:rPr>
        <w:t xml:space="preserve">                       </w:t>
      </w:r>
      <w:r/>
    </w:p>
    <w:p>
      <w:pPr>
        <w:ind w:firstLine="420"/>
        <w:spacing w:line="360" w:lineRule="auto"/>
        <w:rPr>
          <w:rFonts w:ascii="宋体" w:hAnsi="宋体"/>
          <w:sz w:val="24"/>
          <w:highlight w:val="none"/>
        </w:rPr>
      </w:pPr>
      <w:r>
        <w:rPr>
          <w:rFonts w:hint="eastAsia" w:ascii="宋体" w:hAnsi="宋体"/>
          <w:sz w:val="24"/>
          <w:highlight w:val="none"/>
        </w:rPr>
        <w:t xml:space="preserve">传真：</w:t>
      </w:r>
      <w:r>
        <w:rPr>
          <w:rFonts w:hint="eastAsia" w:ascii="宋体" w:hAnsi="宋体"/>
          <w:sz w:val="24"/>
          <w:highlight w:val="none"/>
          <w:u w:val="single"/>
        </w:rPr>
        <w:t xml:space="preserve">                       </w:t>
      </w:r>
      <w:r>
        <w:rPr>
          <w:rFonts w:hint="eastAsia" w:ascii="宋体" w:hAnsi="宋体"/>
          <w:sz w:val="24"/>
          <w:highlight w:val="none"/>
        </w:rPr>
        <w:t xml:space="preserve">       传真：</w:t>
      </w:r>
      <w:r>
        <w:rPr>
          <w:rFonts w:hint="eastAsia" w:ascii="宋体" w:hAnsi="宋体"/>
          <w:sz w:val="24"/>
          <w:highlight w:val="none"/>
          <w:u w:val="single"/>
        </w:rPr>
        <w:t xml:space="preserve">                       </w:t>
      </w:r>
      <w:r/>
    </w:p>
    <w:p>
      <w:pPr>
        <w:ind w:firstLine="420"/>
        <w:spacing w:line="360" w:lineRule="auto"/>
        <w:rPr>
          <w:rFonts w:ascii="宋体" w:hAnsi="宋体"/>
          <w:sz w:val="24"/>
          <w:highlight w:val="none"/>
        </w:rPr>
      </w:pPr>
      <w:r>
        <w:rPr>
          <w:rFonts w:hint="eastAsia" w:ascii="宋体" w:hAnsi="宋体"/>
          <w:sz w:val="24"/>
          <w:highlight w:val="none"/>
        </w:rPr>
        <w:t xml:space="preserve">电子邮箱：</w:t>
      </w:r>
      <w:r>
        <w:rPr>
          <w:rFonts w:hint="eastAsia" w:ascii="宋体" w:hAnsi="宋体"/>
          <w:sz w:val="24"/>
          <w:highlight w:val="none"/>
          <w:u w:val="single"/>
        </w:rPr>
        <w:t xml:space="preserve">                   </w:t>
      </w:r>
      <w:r>
        <w:rPr>
          <w:rFonts w:hint="eastAsia" w:ascii="宋体" w:hAnsi="宋体"/>
          <w:sz w:val="24"/>
          <w:highlight w:val="none"/>
        </w:rPr>
        <w:t xml:space="preserve">       电子邮箱：</w:t>
      </w:r>
      <w:r>
        <w:rPr>
          <w:rFonts w:hint="eastAsia" w:ascii="宋体" w:hAnsi="宋体"/>
          <w:sz w:val="24"/>
          <w:highlight w:val="none"/>
          <w:u w:val="single"/>
        </w:rPr>
        <w:t xml:space="preserve">                   </w:t>
      </w:r>
      <w:r/>
    </w:p>
    <w:p>
      <w:pPr>
        <w:ind w:firstLine="420"/>
        <w:spacing w:line="360" w:lineRule="auto"/>
        <w:rPr>
          <w:rFonts w:ascii="宋体" w:hAnsi="宋体"/>
          <w:sz w:val="24"/>
          <w:highlight w:val="none"/>
        </w:rPr>
      </w:pPr>
      <w:r>
        <w:rPr>
          <w:rFonts w:hint="eastAsia" w:ascii="宋体" w:hAnsi="宋体"/>
          <w:sz w:val="24"/>
          <w:highlight w:val="none"/>
        </w:rPr>
        <w:t xml:space="preserve">开户银行：</w:t>
      </w:r>
      <w:r>
        <w:rPr>
          <w:rFonts w:hint="eastAsia" w:ascii="宋体" w:hAnsi="宋体"/>
          <w:sz w:val="24"/>
          <w:highlight w:val="none"/>
          <w:u w:val="single"/>
        </w:rPr>
        <w:t xml:space="preserve">                   </w:t>
      </w:r>
      <w:r>
        <w:rPr>
          <w:rFonts w:hint="eastAsia" w:ascii="宋体" w:hAnsi="宋体"/>
          <w:sz w:val="24"/>
          <w:highlight w:val="none"/>
        </w:rPr>
        <w:t xml:space="preserve">       开户银行：</w:t>
      </w:r>
      <w:r>
        <w:rPr>
          <w:rFonts w:hint="eastAsia" w:ascii="宋体" w:hAnsi="宋体"/>
          <w:sz w:val="24"/>
          <w:highlight w:val="none"/>
          <w:u w:val="single"/>
        </w:rPr>
        <w:t xml:space="preserve">                   </w:t>
      </w:r>
      <w:r/>
    </w:p>
    <w:p>
      <w:pPr>
        <w:ind w:firstLine="420"/>
        <w:spacing w:line="360" w:lineRule="auto"/>
        <w:rPr>
          <w:rFonts w:ascii="宋体" w:hAnsi="宋体"/>
          <w:sz w:val="24"/>
          <w:highlight w:val="none"/>
        </w:rPr>
      </w:pPr>
      <w:r>
        <w:rPr>
          <w:rFonts w:hint="eastAsia" w:ascii="宋体" w:hAnsi="宋体"/>
          <w:sz w:val="24"/>
          <w:highlight w:val="none"/>
          <w:lang w:eastAsia="zh-CN"/>
        </w:rPr>
        <w:t xml:space="preserve">账</w:t>
      </w:r>
      <w:r>
        <w:rPr>
          <w:rFonts w:hint="eastAsia" w:ascii="宋体" w:hAnsi="宋体"/>
          <w:sz w:val="24"/>
          <w:highlight w:val="none"/>
        </w:rPr>
        <w:t xml:space="preserve">号：</w:t>
      </w:r>
      <w:r>
        <w:rPr>
          <w:rFonts w:hint="eastAsia" w:ascii="宋体" w:hAnsi="宋体"/>
          <w:sz w:val="24"/>
          <w:highlight w:val="none"/>
          <w:u w:val="single"/>
        </w:rPr>
        <w:t xml:space="preserve">                       </w:t>
      </w:r>
      <w:r>
        <w:rPr>
          <w:rFonts w:hint="eastAsia" w:ascii="宋体" w:hAnsi="宋体"/>
          <w:sz w:val="24"/>
          <w:highlight w:val="none"/>
        </w:rPr>
        <w:t xml:space="preserve">       </w:t>
      </w:r>
      <w:r>
        <w:rPr>
          <w:rFonts w:hint="eastAsia" w:ascii="宋体" w:hAnsi="宋体"/>
          <w:sz w:val="24"/>
          <w:highlight w:val="none"/>
          <w:lang w:eastAsia="zh-CN"/>
        </w:rPr>
        <w:t xml:space="preserve">账</w:t>
      </w:r>
      <w:r>
        <w:rPr>
          <w:rFonts w:hint="eastAsia" w:ascii="宋体" w:hAnsi="宋体"/>
          <w:sz w:val="24"/>
          <w:highlight w:val="none"/>
        </w:rPr>
        <w:t xml:space="preserve">号：</w:t>
      </w:r>
      <w:r>
        <w:rPr>
          <w:rFonts w:hint="eastAsia" w:ascii="宋体" w:hAnsi="宋体"/>
          <w:sz w:val="24"/>
          <w:highlight w:val="none"/>
          <w:u w:val="single"/>
        </w:rPr>
        <w:t xml:space="preserve">                       </w:t>
      </w:r>
      <w:r/>
    </w:p>
    <w:p>
      <w:pPr>
        <w:ind w:firstLine="420"/>
        <w:spacing w:line="360" w:lineRule="auto"/>
        <w:rPr>
          <w:rFonts w:ascii="宋体" w:hAnsi="宋体"/>
          <w:sz w:val="24"/>
          <w:highlight w:val="none"/>
          <w:u w:val="single"/>
        </w:rPr>
      </w:pPr>
      <w:r>
        <w:rPr>
          <w:rFonts w:hint="eastAsia" w:ascii="宋体" w:hAnsi="宋体"/>
          <w:sz w:val="24"/>
          <w:highlight w:val="none"/>
        </w:rPr>
        <w:t xml:space="preserve">邮政编码：</w:t>
      </w:r>
      <w:r>
        <w:rPr>
          <w:rFonts w:hint="eastAsia" w:ascii="宋体" w:hAnsi="宋体"/>
          <w:sz w:val="24"/>
          <w:highlight w:val="none"/>
          <w:u w:val="single"/>
        </w:rPr>
        <w:t xml:space="preserve">                   </w:t>
      </w:r>
      <w:r>
        <w:rPr>
          <w:rFonts w:hint="eastAsia" w:ascii="宋体" w:hAnsi="宋体"/>
          <w:sz w:val="24"/>
          <w:highlight w:val="none"/>
        </w:rPr>
        <w:t xml:space="preserve">         邮政编码：</w:t>
      </w:r>
      <w:r>
        <w:rPr>
          <w:rFonts w:hint="eastAsia" w:ascii="宋体" w:hAnsi="宋体"/>
          <w:sz w:val="24"/>
          <w:highlight w:val="none"/>
          <w:u w:val="single"/>
        </w:rPr>
        <w:t xml:space="preserve">                   </w:t>
      </w:r>
      <w:r/>
    </w:p>
    <w:p>
      <w:pPr>
        <w:rPr>
          <w:rFonts w:hint="eastAsia" w:ascii="宋体" w:hAnsi="宋体" w:cs="宋体"/>
          <w:sz w:val="24"/>
          <w:highlight w:val="none"/>
        </w:rPr>
      </w:pPr>
      <w:r>
        <w:rPr>
          <w:rFonts w:hint="eastAsia" w:ascii="宋体" w:hAnsi="宋体" w:cs="宋体"/>
          <w:sz w:val="24"/>
          <w:highlight w:val="none"/>
        </w:rPr>
        <w:br w:type="page" w:clear="all"/>
      </w:r>
      <w:r/>
    </w:p>
    <w:p>
      <w:pPr>
        <w:rPr>
          <w:rFonts w:ascii="宋体" w:hAnsi="宋体" w:cs="宋体"/>
          <w:b/>
          <w:bCs/>
          <w:sz w:val="24"/>
          <w:highlight w:val="none"/>
        </w:rPr>
      </w:pPr>
      <w:r>
        <w:rPr>
          <w:rFonts w:hint="eastAsia" w:ascii="宋体" w:hAnsi="宋体" w:cs="宋体"/>
          <w:sz w:val="24"/>
          <w:highlight w:val="none"/>
        </w:rPr>
        <w:t xml:space="preserve">附件6：    </w:t>
      </w:r>
      <w:r>
        <w:rPr>
          <w:rFonts w:hint="eastAsia" w:ascii="宋体" w:hAnsi="宋体" w:cs="宋体"/>
          <w:b/>
          <w:bCs/>
          <w:sz w:val="24"/>
          <w:highlight w:val="none"/>
        </w:rPr>
        <w:t xml:space="preserve">          </w:t>
      </w:r>
      <w:r/>
    </w:p>
    <w:p>
      <w:pPr>
        <w:jc w:val="center"/>
        <w:spacing w:line="360" w:lineRule="auto"/>
        <w:rPr>
          <w:rFonts w:ascii="宋体" w:hAnsi="宋体"/>
          <w:sz w:val="24"/>
          <w:highlight w:val="none"/>
        </w:rPr>
      </w:pPr>
      <w:r>
        <w:rPr>
          <w:rFonts w:hint="eastAsia" w:ascii="宋体" w:hAnsi="宋体"/>
          <w:b/>
          <w:bCs/>
          <w:sz w:val="32"/>
          <w:szCs w:val="32"/>
          <w:highlight w:val="none"/>
        </w:rPr>
        <w:t xml:space="preserve">安全生产协议书</w:t>
      </w:r>
      <w:r>
        <w:rPr>
          <w:rFonts w:hint="eastAsia" w:ascii="宋体" w:hAnsi="宋体"/>
          <w:sz w:val="24"/>
          <w:highlight w:val="none"/>
        </w:rPr>
        <w:t xml:space="preserve">（发包人与承包人）</w:t>
      </w:r>
      <w:r/>
    </w:p>
    <w:p>
      <w:pPr>
        <w:spacing w:line="360" w:lineRule="auto"/>
        <w:widowControl/>
        <w:rPr>
          <w:rFonts w:ascii="宋体" w:hAnsi="宋体"/>
          <w:sz w:val="24"/>
          <w:highlight w:val="none"/>
        </w:rPr>
      </w:pPr>
      <w:r>
        <w:rPr>
          <w:rFonts w:hint="eastAsia" w:ascii="宋体" w:hAnsi="宋体"/>
          <w:sz w:val="24"/>
          <w:highlight w:val="none"/>
        </w:rPr>
        <w:t xml:space="preserve">发包人：（ 以下简称“甲方” ）</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b/>
          <w:sz w:val="24"/>
          <w:highlight w:val="none"/>
          <w:u w:val="single"/>
        </w:rPr>
        <w:t xml:space="preserve">南通市妇幼保健院</w:t>
      </w:r>
      <w:r>
        <w:rPr>
          <w:rFonts w:hint="eastAsia" w:ascii="宋体" w:hAnsi="宋体" w:cs="宋体"/>
          <w:b/>
          <w:sz w:val="24"/>
          <w:highlight w:val="none"/>
          <w:u w:val="single"/>
          <w:lang w:val="en-US" w:eastAsia="zh-CN"/>
        </w:rPr>
        <w:t xml:space="preserve">       </w:t>
      </w:r>
      <w:r>
        <w:rPr>
          <w:rFonts w:hint="eastAsia" w:ascii="宋体" w:hAnsi="宋体" w:cs="宋体"/>
          <w:sz w:val="24"/>
          <w:highlight w:val="none"/>
          <w:u w:val="single"/>
        </w:rPr>
        <w:t xml:space="preserve">  </w:t>
      </w:r>
      <w:r/>
    </w:p>
    <w:p>
      <w:pPr>
        <w:spacing w:line="360" w:lineRule="auto"/>
        <w:widowControl/>
        <w:rPr>
          <w:rFonts w:ascii="宋体" w:hAnsi="宋体"/>
          <w:sz w:val="24"/>
          <w:highlight w:val="none"/>
          <w:u w:val="single"/>
        </w:rPr>
      </w:pPr>
      <w:r>
        <w:rPr>
          <w:rFonts w:hint="eastAsia" w:ascii="宋体" w:hAnsi="宋体"/>
          <w:sz w:val="24"/>
          <w:highlight w:val="none"/>
        </w:rPr>
        <w:t xml:space="preserve">承包人：（ 以下简称“乙方” ）</w:t>
      </w:r>
      <w:r>
        <w:rPr>
          <w:rFonts w:hint="eastAsia" w:ascii="宋体" w:hAnsi="宋体" w:cs="宋体"/>
          <w:sz w:val="24"/>
          <w:highlight w:val="none"/>
          <w:u w:val="single"/>
        </w:rPr>
        <w:t xml:space="preserve">    </w:t>
      </w:r>
      <w:r>
        <w:rPr>
          <w:rFonts w:hint="eastAsia" w:ascii="宋体" w:hAnsi="宋体"/>
          <w:sz w:val="24"/>
          <w:highlight w:val="none"/>
          <w:u w:val="single"/>
        </w:rPr>
        <w:t xml:space="preserve">                         </w:t>
      </w:r>
      <w:r/>
    </w:p>
    <w:p>
      <w:pPr>
        <w:ind w:firstLine="480"/>
        <w:spacing w:line="336" w:lineRule="auto"/>
        <w:widowControl/>
        <w:rPr>
          <w:rFonts w:ascii="宋体" w:hAnsi="宋体"/>
          <w:sz w:val="24"/>
          <w:highlight w:val="none"/>
        </w:rPr>
      </w:pPr>
      <w:r>
        <w:rPr>
          <w:rFonts w:hint="eastAsia" w:ascii="宋体" w:hAnsi="宋体"/>
          <w:sz w:val="24"/>
          <w:highlight w:val="none"/>
        </w:rPr>
        <w:t xml:space="preserve">为在施工合同的实施过程中创造安全、高效的施工环境，切实搞好本项目的安全管理工作，特此签订安全生产合同。具体如下：</w:t>
      </w:r>
      <w:r/>
    </w:p>
    <w:p>
      <w:pPr>
        <w:ind w:firstLine="422"/>
        <w:spacing w:line="336" w:lineRule="auto"/>
        <w:rPr>
          <w:rFonts w:ascii="宋体" w:hAnsi="宋体"/>
          <w:b/>
          <w:sz w:val="24"/>
          <w:highlight w:val="none"/>
        </w:rPr>
      </w:pPr>
      <w:r>
        <w:rPr>
          <w:rFonts w:hint="eastAsia" w:ascii="宋体" w:hAnsi="宋体"/>
          <w:b/>
          <w:sz w:val="24"/>
          <w:highlight w:val="none"/>
        </w:rPr>
        <w:t xml:space="preserve">一、</w:t>
      </w:r>
      <w:r>
        <w:rPr>
          <w:rFonts w:hint="eastAsia" w:ascii="宋体" w:hAnsi="宋体"/>
          <w:sz w:val="24"/>
          <w:highlight w:val="none"/>
        </w:rPr>
        <w:t xml:space="preserve">甲方职责</w:t>
      </w:r>
      <w:r/>
    </w:p>
    <w:p>
      <w:pPr>
        <w:ind w:firstLine="420"/>
        <w:spacing w:line="336" w:lineRule="auto"/>
        <w:rPr>
          <w:rFonts w:ascii="宋体" w:hAnsi="宋体"/>
          <w:sz w:val="24"/>
          <w:highlight w:val="none"/>
        </w:rPr>
      </w:pPr>
      <w:r>
        <w:rPr>
          <w:rFonts w:hint="eastAsia" w:ascii="宋体" w:hAnsi="宋体"/>
          <w:sz w:val="24"/>
          <w:highlight w:val="none"/>
        </w:rPr>
        <w:t xml:space="preserve">1．严格遵守国家有关安全生产的法律法规，认真执行工程承包合同中的有关安全要求。</w:t>
      </w:r>
      <w:r/>
    </w:p>
    <w:p>
      <w:pPr>
        <w:ind w:firstLine="420"/>
        <w:spacing w:line="336" w:lineRule="auto"/>
        <w:rPr>
          <w:rFonts w:ascii="宋体" w:hAnsi="宋体"/>
          <w:sz w:val="24"/>
          <w:highlight w:val="none"/>
        </w:rPr>
      </w:pPr>
      <w:r>
        <w:rPr>
          <w:rFonts w:hint="eastAsia" w:ascii="宋体" w:hAnsi="宋体"/>
          <w:sz w:val="24"/>
          <w:highlight w:val="none"/>
        </w:rPr>
        <w:t xml:space="preserve">2．按照“安全第一、预防为主”和坚持“管生产必需管安全”的原则进行安全生产管理，做到生产与安全工作同时计划、布置、检查、总结和评比。</w:t>
      </w:r>
      <w:r/>
    </w:p>
    <w:p>
      <w:pPr>
        <w:ind w:firstLine="420"/>
        <w:spacing w:line="336" w:lineRule="auto"/>
        <w:rPr>
          <w:rFonts w:ascii="宋体" w:hAnsi="宋体"/>
          <w:sz w:val="24"/>
          <w:highlight w:val="none"/>
        </w:rPr>
      </w:pPr>
      <w:r>
        <w:rPr>
          <w:rFonts w:hint="eastAsia" w:ascii="宋体" w:hAnsi="宋体"/>
          <w:sz w:val="24"/>
          <w:highlight w:val="none"/>
        </w:rPr>
        <w:t xml:space="preserve">3．定期召开安全生产协调会，及时传达中央及地方有关安全生产的精神。</w:t>
      </w:r>
      <w:r/>
    </w:p>
    <w:p>
      <w:pPr>
        <w:ind w:firstLine="420"/>
        <w:spacing w:line="336" w:lineRule="auto"/>
        <w:rPr>
          <w:rFonts w:ascii="宋体" w:hAnsi="宋体"/>
          <w:sz w:val="24"/>
          <w:highlight w:val="none"/>
        </w:rPr>
      </w:pPr>
      <w:r>
        <w:rPr>
          <w:rFonts w:hint="eastAsia" w:ascii="宋体" w:hAnsi="宋体"/>
          <w:sz w:val="24"/>
          <w:highlight w:val="none"/>
        </w:rPr>
        <w:t xml:space="preserve">4．组织对乙方施工现场安全生产检查，建立安全生产责任制网络、汇总重要危险源、监督乙方及时处理发现的各种安全隐患。</w:t>
      </w:r>
      <w:r/>
    </w:p>
    <w:p>
      <w:pPr>
        <w:ind w:firstLine="422"/>
        <w:spacing w:line="336" w:lineRule="auto"/>
        <w:rPr>
          <w:rFonts w:ascii="宋体" w:hAnsi="宋体"/>
          <w:b/>
          <w:sz w:val="24"/>
          <w:highlight w:val="none"/>
        </w:rPr>
      </w:pPr>
      <w:r>
        <w:rPr>
          <w:rFonts w:hint="eastAsia" w:ascii="宋体" w:hAnsi="宋体"/>
          <w:b/>
          <w:sz w:val="24"/>
          <w:highlight w:val="none"/>
        </w:rPr>
        <w:t xml:space="preserve">二、</w:t>
      </w:r>
      <w:r>
        <w:rPr>
          <w:rFonts w:hint="eastAsia" w:ascii="宋体" w:hAnsi="宋体"/>
          <w:sz w:val="24"/>
          <w:highlight w:val="none"/>
        </w:rPr>
        <w:t xml:space="preserve">乙方职责</w:t>
      </w:r>
      <w:r/>
    </w:p>
    <w:p>
      <w:pPr>
        <w:ind w:firstLine="420"/>
        <w:spacing w:line="336" w:lineRule="auto"/>
        <w:rPr>
          <w:rFonts w:ascii="宋体" w:hAnsi="宋体"/>
          <w:sz w:val="24"/>
          <w:highlight w:val="none"/>
        </w:rPr>
      </w:pPr>
      <w:r>
        <w:rPr>
          <w:rFonts w:hint="eastAsia" w:ascii="宋体" w:hAnsi="宋体"/>
          <w:sz w:val="24"/>
          <w:highlight w:val="none"/>
        </w:rPr>
        <w:t xml:space="preserve">1．严格遵守国家有关安全生产的法律法规、有关安全生产的规定，认真执行工程承包合同中的有关安全要求，接受甲方和监理工程师对安全生产工作的指导。</w:t>
      </w:r>
      <w:r/>
    </w:p>
    <w:p>
      <w:pPr>
        <w:ind w:firstLine="420"/>
        <w:spacing w:line="336" w:lineRule="auto"/>
        <w:rPr>
          <w:rFonts w:ascii="宋体" w:hAnsi="宋体"/>
          <w:sz w:val="24"/>
          <w:highlight w:val="none"/>
        </w:rPr>
      </w:pPr>
      <w:r>
        <w:rPr>
          <w:rFonts w:hint="eastAsia" w:ascii="宋体" w:hAnsi="宋体"/>
          <w:sz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36" w:lineRule="auto"/>
        <w:rPr>
          <w:rFonts w:ascii="宋体" w:hAnsi="宋体"/>
          <w:sz w:val="24"/>
          <w:highlight w:val="none"/>
        </w:rPr>
      </w:pPr>
      <w:r>
        <w:rPr>
          <w:rFonts w:hint="eastAsia" w:ascii="宋体" w:hAnsi="宋体"/>
          <w:sz w:val="24"/>
          <w:highlight w:val="none"/>
        </w:rPr>
        <w:t xml:space="preserve">3．建立健全安全生产责任制网络。从派往项目实施的项目经理到生产工人（</w:t>
      </w:r>
      <w:r>
        <w:rPr>
          <w:rFonts w:hint="eastAsia" w:ascii="宋体" w:hAnsi="宋体"/>
          <w:sz w:val="24"/>
          <w:highlight w:val="none"/>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0"/>
        <w:spacing w:line="336" w:lineRule="auto"/>
        <w:rPr>
          <w:rFonts w:ascii="宋体" w:hAnsi="宋体"/>
          <w:sz w:val="24"/>
          <w:highlight w:val="none"/>
        </w:rPr>
      </w:pPr>
      <w:r>
        <w:rPr>
          <w:rFonts w:hint="eastAsia" w:ascii="宋体" w:hAnsi="宋体"/>
          <w:sz w:val="24"/>
          <w:highlight w:val="none"/>
        </w:rPr>
        <w:t xml:space="preserve">4．乙方在任何时侯都应采取各种合理的预防措施，防止其人员发生任何违法、违禁、暴力、违规或妨碍治安的行为。</w:t>
      </w:r>
      <w:r/>
    </w:p>
    <w:p>
      <w:pPr>
        <w:ind w:firstLine="420"/>
        <w:spacing w:line="336" w:lineRule="auto"/>
        <w:rPr>
          <w:rFonts w:ascii="宋体" w:hAnsi="宋体"/>
          <w:sz w:val="24"/>
          <w:highlight w:val="none"/>
        </w:rPr>
      </w:pPr>
      <w:r>
        <w:rPr>
          <w:rFonts w:hint="eastAsia" w:ascii="宋体" w:hAnsi="宋体"/>
          <w:sz w:val="24"/>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36" w:lineRule="auto"/>
        <w:rPr>
          <w:rFonts w:ascii="宋体" w:hAnsi="宋体"/>
          <w:sz w:val="24"/>
          <w:highlight w:val="none"/>
        </w:rPr>
      </w:pPr>
      <w:r>
        <w:rPr>
          <w:rFonts w:hint="eastAsia" w:ascii="宋体" w:hAnsi="宋体"/>
          <w:sz w:val="24"/>
          <w:highlight w:val="none"/>
        </w:rPr>
        <w:t xml:space="preserve">6．加强施工中交通运输安全管理，各种运输机械等需划定运输路线行驶。</w:t>
      </w:r>
      <w:r/>
    </w:p>
    <w:p>
      <w:pPr>
        <w:ind w:firstLine="420"/>
        <w:spacing w:line="336" w:lineRule="auto"/>
        <w:rPr>
          <w:rFonts w:ascii="宋体" w:hAnsi="宋体"/>
          <w:sz w:val="24"/>
          <w:highlight w:val="none"/>
        </w:rPr>
      </w:pPr>
      <w:r>
        <w:rPr>
          <w:rFonts w:hint="eastAsia" w:ascii="宋体" w:hAnsi="宋体"/>
          <w:sz w:val="24"/>
          <w:highlight w:val="none"/>
        </w:rPr>
        <w:t xml:space="preserve">7．对于易燃易爆的材料除应专门有效封闭、妥善保管之外，还应配备有足够的消防设施，所有施工人员都应熟悉消防设备的性能和使用方法。</w:t>
      </w:r>
      <w:r/>
    </w:p>
    <w:p>
      <w:pPr>
        <w:ind w:firstLine="420"/>
        <w:spacing w:line="336" w:lineRule="auto"/>
        <w:rPr>
          <w:rFonts w:ascii="宋体" w:hAnsi="宋体"/>
          <w:sz w:val="24"/>
          <w:highlight w:val="none"/>
        </w:rPr>
      </w:pPr>
      <w:r>
        <w:rPr>
          <w:rFonts w:hint="eastAsia" w:ascii="宋体" w:hAnsi="宋体"/>
          <w:sz w:val="24"/>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36" w:lineRule="auto"/>
        <w:rPr>
          <w:rFonts w:ascii="宋体" w:hAnsi="宋体"/>
          <w:sz w:val="24"/>
          <w:highlight w:val="none"/>
        </w:rPr>
      </w:pPr>
      <w:r>
        <w:rPr>
          <w:rFonts w:hint="eastAsia" w:ascii="宋体" w:hAnsi="宋体"/>
          <w:sz w:val="24"/>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36" w:lineRule="auto"/>
        <w:rPr>
          <w:rFonts w:ascii="宋体" w:hAnsi="宋体"/>
          <w:sz w:val="24"/>
          <w:highlight w:val="none"/>
        </w:rPr>
      </w:pPr>
      <w:r>
        <w:rPr>
          <w:rFonts w:hint="eastAsia" w:ascii="宋体" w:hAnsi="宋体"/>
          <w:sz w:val="24"/>
          <w:highlight w:val="none"/>
        </w:rPr>
        <w:t xml:space="preserve">10．施工现场必须具有相关的安全标志牌。</w:t>
      </w:r>
      <w:r/>
    </w:p>
    <w:p>
      <w:pPr>
        <w:ind w:firstLine="420"/>
        <w:spacing w:line="336" w:lineRule="auto"/>
        <w:rPr>
          <w:rFonts w:ascii="宋体" w:hAnsi="宋体"/>
          <w:sz w:val="24"/>
          <w:highlight w:val="none"/>
        </w:rPr>
      </w:pPr>
      <w:r>
        <w:rPr>
          <w:rFonts w:hint="eastAsia" w:ascii="宋体" w:hAnsi="宋体"/>
          <w:sz w:val="24"/>
          <w:highlight w:val="none"/>
        </w:rPr>
        <w:t xml:space="preserve">11．建立主要危险源备案制度，要明确潜在隐患、防范措施和落实责任人。</w:t>
      </w:r>
      <w:r/>
    </w:p>
    <w:p>
      <w:pPr>
        <w:ind w:firstLine="420"/>
        <w:spacing w:line="336" w:lineRule="auto"/>
        <w:rPr>
          <w:rFonts w:ascii="宋体" w:hAnsi="宋体"/>
          <w:sz w:val="24"/>
          <w:highlight w:val="none"/>
        </w:rPr>
      </w:pPr>
      <w:r>
        <w:rPr>
          <w:rFonts w:hint="eastAsia" w:ascii="宋体" w:hAnsi="宋体"/>
          <w:sz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2"/>
        <w:spacing w:line="336" w:lineRule="auto"/>
        <w:rPr>
          <w:rFonts w:ascii="宋体" w:hAnsi="宋体"/>
          <w:b/>
          <w:sz w:val="24"/>
          <w:highlight w:val="none"/>
        </w:rPr>
      </w:pPr>
      <w:r>
        <w:rPr>
          <w:rFonts w:hint="eastAsia" w:ascii="宋体" w:hAnsi="宋体"/>
          <w:b/>
          <w:sz w:val="24"/>
          <w:highlight w:val="none"/>
        </w:rPr>
        <w:t xml:space="preserve">三、</w:t>
      </w:r>
      <w:r>
        <w:rPr>
          <w:rFonts w:hint="eastAsia" w:ascii="宋体" w:hAnsi="宋体"/>
          <w:sz w:val="24"/>
          <w:highlight w:val="none"/>
        </w:rPr>
        <w:t xml:space="preserve">违约责任</w:t>
      </w:r>
      <w:r/>
    </w:p>
    <w:p>
      <w:pPr>
        <w:ind w:firstLine="420"/>
        <w:spacing w:line="336" w:lineRule="auto"/>
        <w:rPr>
          <w:rFonts w:ascii="宋体" w:hAnsi="宋体"/>
          <w:sz w:val="24"/>
          <w:highlight w:val="none"/>
        </w:rPr>
      </w:pPr>
      <w:r>
        <w:rPr>
          <w:rFonts w:hint="eastAsia" w:ascii="宋体" w:hAnsi="宋体"/>
          <w:sz w:val="24"/>
          <w:highlight w:val="none"/>
        </w:rPr>
        <w:t xml:space="preserve">如因甲方或乙方违约造成安全事故，将报请有关部门依法追究责任。</w:t>
      </w:r>
      <w:r/>
    </w:p>
    <w:p>
      <w:pPr>
        <w:ind w:firstLine="420"/>
        <w:spacing w:line="336" w:lineRule="auto"/>
        <w:rPr>
          <w:rFonts w:ascii="宋体" w:hAnsi="宋体"/>
          <w:sz w:val="24"/>
          <w:highlight w:val="none"/>
        </w:rPr>
      </w:pPr>
      <w:r>
        <w:rPr>
          <w:rFonts w:hint="eastAsia" w:ascii="宋体" w:hAnsi="宋体"/>
          <w:sz w:val="24"/>
          <w:highlight w:val="none"/>
        </w:rPr>
        <w:t xml:space="preserve">本合同一式二份，由双方法定代表人或其授权的代理人签署和加盖公章后生效，全部工程竣工验收后失效。</w:t>
      </w:r>
      <w:r/>
    </w:p>
    <w:p>
      <w:pPr>
        <w:ind w:firstLine="420"/>
        <w:spacing w:line="360" w:lineRule="auto"/>
        <w:rPr>
          <w:rFonts w:ascii="宋体" w:hAnsi="宋体"/>
          <w:sz w:val="24"/>
          <w:highlight w:val="none"/>
        </w:rPr>
      </w:pPr>
      <w:r>
        <w:rPr>
          <w:rFonts w:ascii="宋体" w:hAnsi="宋体"/>
          <w:sz w:val="24"/>
          <w:highlight w:val="none"/>
        </w:rPr>
      </w:r>
      <w:r/>
    </w:p>
    <w:p>
      <w:pPr>
        <w:ind w:firstLine="420"/>
        <w:spacing w:line="360" w:lineRule="auto"/>
        <w:rPr>
          <w:rFonts w:ascii="宋体" w:hAnsi="宋体"/>
          <w:sz w:val="24"/>
          <w:highlight w:val="none"/>
        </w:rPr>
      </w:pPr>
      <w:r>
        <w:rPr>
          <w:rFonts w:hint="eastAsia" w:ascii="宋体" w:hAnsi="宋体"/>
          <w:sz w:val="24"/>
          <w:highlight w:val="none"/>
        </w:rPr>
        <w:t xml:space="preserve">甲      方：                         乙    方：                     </w:t>
      </w:r>
      <w:r/>
    </w:p>
    <w:p>
      <w:pPr>
        <w:ind w:firstLine="420"/>
        <w:spacing w:line="360" w:lineRule="auto"/>
        <w:rPr>
          <w:rFonts w:ascii="宋体" w:hAnsi="宋体"/>
          <w:sz w:val="24"/>
          <w:highlight w:val="none"/>
        </w:rPr>
      </w:pPr>
      <w:r>
        <w:rPr>
          <w:rFonts w:hint="eastAsia" w:ascii="宋体" w:hAnsi="宋体"/>
          <w:sz w:val="24"/>
          <w:highlight w:val="none"/>
        </w:rPr>
        <w:t xml:space="preserve">法定代表人（或授权代理人）：         法定代表人（或授权代理人）：</w:t>
      </w:r>
      <w:r/>
    </w:p>
    <w:p>
      <w:pPr>
        <w:ind w:firstLine="420"/>
        <w:spacing w:line="360" w:lineRule="auto"/>
        <w:rPr>
          <w:rFonts w:ascii="宋体" w:hAnsi="宋体"/>
          <w:sz w:val="24"/>
          <w:highlight w:val="none"/>
        </w:rPr>
      </w:pPr>
      <w:r>
        <w:rPr>
          <w:rFonts w:hint="eastAsia" w:ascii="宋体" w:hAnsi="宋体"/>
          <w:sz w:val="24"/>
          <w:highlight w:val="none"/>
        </w:rPr>
        <w:t xml:space="preserve">地       址：                        地     址：             </w:t>
      </w:r>
      <w:r/>
    </w:p>
    <w:p>
      <w:pPr>
        <w:ind w:firstLine="420"/>
        <w:spacing w:line="360" w:lineRule="auto"/>
        <w:rPr>
          <w:rFonts w:ascii="宋体" w:hAnsi="宋体"/>
          <w:sz w:val="24"/>
          <w:highlight w:val="none"/>
        </w:rPr>
      </w:pPr>
      <w:r>
        <w:rPr>
          <w:rFonts w:hint="eastAsia" w:ascii="宋体" w:hAnsi="宋体"/>
          <w:sz w:val="24"/>
          <w:highlight w:val="none"/>
        </w:rPr>
        <w:t xml:space="preserve">电       话：                        电     话：              </w:t>
      </w:r>
      <w:r/>
    </w:p>
    <w:p>
      <w:pPr>
        <w:ind w:firstLine="420"/>
        <w:spacing w:line="360" w:lineRule="auto"/>
        <w:rPr>
          <w:rFonts w:ascii="宋体" w:hAnsi="宋体"/>
          <w:sz w:val="24"/>
          <w:highlight w:val="none"/>
        </w:rPr>
      </w:pPr>
      <w:r>
        <w:rPr>
          <w:rFonts w:hint="eastAsia" w:ascii="宋体" w:hAnsi="宋体"/>
          <w:sz w:val="24"/>
          <w:highlight w:val="none"/>
        </w:rPr>
        <w:t xml:space="preserve">日       期：                        日     期：     </w:t>
      </w:r>
      <w:r/>
    </w:p>
    <w:p>
      <w:pPr>
        <w:spacing w:line="360" w:lineRule="auto"/>
        <w:rPr>
          <w:rFonts w:ascii="宋体" w:hAnsi="宋体"/>
          <w:b/>
          <w:sz w:val="32"/>
          <w:szCs w:val="32"/>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附件 7：</w:t>
      </w:r>
      <w:r>
        <w:rPr>
          <w:rFonts w:hint="eastAsia" w:ascii="宋体" w:hAnsi="宋体"/>
          <w:b/>
          <w:sz w:val="32"/>
          <w:szCs w:val="32"/>
          <w:highlight w:val="none"/>
        </w:rPr>
        <w:t xml:space="preserve"> </w:t>
      </w:r>
      <w:r/>
    </w:p>
    <w:p>
      <w:pPr>
        <w:ind w:firstLine="643"/>
        <w:jc w:val="center"/>
        <w:spacing w:line="360" w:lineRule="auto"/>
        <w:rPr>
          <w:rFonts w:ascii="宋体" w:hAnsi="宋体"/>
          <w:b/>
          <w:sz w:val="32"/>
          <w:szCs w:val="32"/>
          <w:highlight w:val="none"/>
        </w:rPr>
      </w:pPr>
      <w:r>
        <w:rPr>
          <w:rFonts w:hint="eastAsia" w:ascii="宋体" w:hAnsi="宋体"/>
          <w:b/>
          <w:sz w:val="32"/>
          <w:szCs w:val="32"/>
          <w:highlight w:val="none"/>
        </w:rPr>
        <w:t xml:space="preserve"> 工程质量保修书</w:t>
      </w:r>
      <w:r/>
    </w:p>
    <w:p>
      <w:pPr>
        <w:spacing w:line="360" w:lineRule="auto"/>
        <w:rPr>
          <w:rFonts w:ascii="宋体" w:hAnsi="宋体"/>
          <w:sz w:val="24"/>
          <w:highlight w:val="none"/>
        </w:rPr>
      </w:pPr>
      <w:r>
        <w:rPr>
          <w:rFonts w:ascii="宋体" w:hAnsi="宋体"/>
          <w:sz w:val="24"/>
          <w:highlight w:val="none"/>
        </w:rPr>
      </w:r>
      <w:r/>
    </w:p>
    <w:p>
      <w:pPr>
        <w:spacing w:line="360" w:lineRule="auto"/>
        <w:rPr>
          <w:rFonts w:hint="default" w:ascii="宋体" w:hAnsi="宋体" w:eastAsia="宋体"/>
          <w:sz w:val="24"/>
          <w:highlight w:val="none"/>
          <w:lang w:val="en-US" w:eastAsia="zh-CN"/>
        </w:rPr>
      </w:pPr>
      <w:r>
        <w:rPr>
          <w:rFonts w:hint="eastAsia" w:ascii="宋体" w:hAnsi="宋体"/>
          <w:sz w:val="24"/>
          <w:highlight w:val="none"/>
        </w:rPr>
        <w:t xml:space="preserve">发包人：</w:t>
      </w:r>
      <w:r>
        <w:rPr>
          <w:rFonts w:hint="eastAsia" w:ascii="宋体" w:hAnsi="宋体"/>
          <w:sz w:val="24"/>
          <w:highlight w:val="none"/>
          <w:u w:val="single"/>
          <w:lang w:val="en-US" w:eastAsia="zh-CN"/>
        </w:rPr>
        <w:t xml:space="preserve">     </w:t>
      </w:r>
      <w:r>
        <w:rPr>
          <w:rFonts w:hint="eastAsia" w:ascii="宋体" w:hAnsi="宋体"/>
          <w:b/>
          <w:sz w:val="24"/>
          <w:highlight w:val="none"/>
          <w:u w:val="single"/>
        </w:rPr>
        <w:t xml:space="preserve">南通市妇幼保健院  </w:t>
      </w:r>
      <w:r>
        <w:rPr>
          <w:rFonts w:hint="eastAsia" w:ascii="宋体" w:hAnsi="宋体" w:cs="Arial"/>
          <w:b/>
          <w:bCs/>
          <w:spacing w:val="-4"/>
          <w:sz w:val="24"/>
          <w:highlight w:val="none"/>
          <w:u w:val="single"/>
        </w:rPr>
        <w:t xml:space="preserve">  </w:t>
      </w:r>
      <w:r>
        <w:rPr>
          <w:rFonts w:hint="eastAsia" w:ascii="宋体" w:hAnsi="宋体" w:cs="Arial"/>
          <w:b/>
          <w:bCs/>
          <w:spacing w:val="-4"/>
          <w:sz w:val="24"/>
          <w:highlight w:val="none"/>
          <w:u w:val="single"/>
          <w:lang w:val="en-US" w:eastAsia="zh-CN"/>
        </w:rPr>
        <w:t xml:space="preserve">       </w:t>
      </w:r>
      <w:r/>
    </w:p>
    <w:p>
      <w:pPr>
        <w:spacing w:line="360" w:lineRule="auto"/>
        <w:rPr>
          <w:rFonts w:ascii="宋体" w:hAnsi="宋体"/>
          <w:sz w:val="24"/>
          <w:highlight w:val="none"/>
          <w:u w:val="single"/>
        </w:rPr>
      </w:pPr>
      <w:r>
        <w:rPr>
          <w:rFonts w:hint="eastAsia" w:ascii="宋体" w:hAnsi="宋体"/>
          <w:sz w:val="24"/>
          <w:highlight w:val="none"/>
        </w:rPr>
        <w:t xml:space="preserve">承包人：</w:t>
      </w:r>
      <w:r>
        <w:rPr>
          <w:rFonts w:hint="eastAsia" w:ascii="宋体" w:hAnsi="宋体"/>
          <w:sz w:val="24"/>
          <w:highlight w:val="none"/>
          <w:u w:val="single"/>
        </w:rPr>
        <w:t xml:space="preserve"> </w:t>
      </w:r>
      <w:r>
        <w:rPr>
          <w:rFonts w:hint="eastAsia" w:ascii="宋体" w:hAnsi="宋体"/>
          <w:b/>
          <w:sz w:val="24"/>
          <w:highlight w:val="none"/>
          <w:u w:val="single"/>
        </w:rPr>
        <w:t xml:space="preserve">                           </w:t>
      </w:r>
      <w:r>
        <w:rPr>
          <w:rFonts w:hint="eastAsia"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发包人、承包人根据《中华人民共和国建筑法》、《建设工程质量管理条例》和《房屋建筑工程质量保修办法》，经协商一致，对</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工程</w:t>
      </w:r>
      <w:r>
        <w:rPr>
          <w:rFonts w:hint="eastAsia" w:ascii="宋体" w:hAnsi="宋体"/>
          <w:sz w:val="24"/>
          <w:highlight w:val="none"/>
        </w:rPr>
        <w:t xml:space="preserve">签订工程质量保修书。</w:t>
      </w:r>
      <w:r/>
    </w:p>
    <w:p>
      <w:pPr>
        <w:ind w:firstLine="480"/>
        <w:spacing w:line="360" w:lineRule="auto"/>
        <w:rPr>
          <w:rFonts w:ascii="宋体" w:hAnsi="宋体"/>
          <w:sz w:val="24"/>
          <w:highlight w:val="none"/>
        </w:rPr>
      </w:pPr>
      <w:r>
        <w:rPr>
          <w:rFonts w:hint="eastAsia" w:ascii="宋体" w:hAnsi="宋体"/>
          <w:sz w:val="24"/>
          <w:highlight w:val="none"/>
        </w:rPr>
        <w:t xml:space="preserve">一、工程质量保修范围和内容</w:t>
      </w:r>
      <w:r/>
    </w:p>
    <w:p>
      <w:pPr>
        <w:ind w:firstLine="200"/>
        <w:spacing w:line="360" w:lineRule="auto"/>
        <w:rPr>
          <w:rFonts w:ascii="宋体" w:hAnsi="宋体"/>
          <w:sz w:val="24"/>
          <w:highlight w:val="none"/>
        </w:rPr>
      </w:pPr>
      <w:r>
        <w:rPr>
          <w:rFonts w:hint="eastAsia" w:ascii="宋体" w:hAnsi="宋体"/>
          <w:sz w:val="24"/>
          <w:highlight w:val="none"/>
        </w:rPr>
        <w:t xml:space="preserve">　承包人在质量保修期内，按照有关法律规定和合同约定，承担工程质量保修责任。</w:t>
      </w:r>
      <w:r/>
    </w:p>
    <w:p>
      <w:pPr>
        <w:ind w:firstLine="200"/>
        <w:spacing w:line="360" w:lineRule="auto"/>
        <w:rPr>
          <w:rFonts w:ascii="宋体" w:hAnsi="宋体"/>
          <w:sz w:val="24"/>
          <w:highlight w:val="none"/>
        </w:rPr>
      </w:pPr>
      <w:r>
        <w:rPr>
          <w:rFonts w:hint="eastAsia" w:ascii="宋体" w:hAnsi="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b/>
          <w:bCs/>
          <w:sz w:val="24"/>
          <w:highlight w:val="none"/>
          <w:u w:val="single"/>
        </w:rPr>
        <w:t xml:space="preserve">承包人所施工的内容。</w:t>
      </w:r>
      <w:r/>
    </w:p>
    <w:p>
      <w:pPr>
        <w:ind w:firstLine="200"/>
        <w:spacing w:line="360" w:lineRule="auto"/>
        <w:rPr>
          <w:rFonts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二、质量保修期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1．地基基础工程和主体结构工程为设计文件规定的工程合理使用年限；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2．屋面防水工程、有防水要求的卫生间、房间和外墙面的防渗为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3．装修工程为</w:t>
      </w:r>
      <w:r>
        <w:rPr>
          <w:rFonts w:hint="eastAsia" w:ascii="宋体" w:hAnsi="宋体" w:cs="宋体"/>
          <w:sz w:val="24"/>
          <w:highlight w:val="none"/>
          <w:u w:val="single"/>
        </w:rPr>
        <w:t xml:space="preserve"> </w:t>
      </w:r>
      <w:r>
        <w:rPr>
          <w:rFonts w:hint="eastAsia" w:ascii="宋体" w:hAnsi="宋体" w:cs="宋体"/>
          <w:b/>
          <w:bCs/>
          <w:sz w:val="24"/>
          <w:highlight w:val="none"/>
          <w:u w:val="single"/>
          <w:lang w:val="en-US" w:eastAsia="zh-CN"/>
        </w:rPr>
        <w:t xml:space="preserve">2</w:t>
      </w:r>
      <w:r>
        <w:rPr>
          <w:rFonts w:hint="eastAsia" w:ascii="宋体" w:hAnsi="宋体" w:cs="宋体"/>
          <w:b/>
          <w:bCs/>
          <w:sz w:val="24"/>
          <w:highlight w:val="none"/>
          <w:u w:val="single"/>
        </w:rPr>
        <w:t xml:space="preserve"> </w:t>
      </w:r>
      <w:r>
        <w:rPr>
          <w:rFonts w:hint="eastAsia" w:ascii="宋体" w:hAnsi="宋体" w:cs="宋体"/>
          <w:sz w:val="24"/>
          <w:highlight w:val="none"/>
        </w:rPr>
        <w:t xml:space="preserve">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4．电气管线、给排水管道、设备安装工程为</w:t>
      </w:r>
      <w:r>
        <w:rPr>
          <w:rFonts w:hint="eastAsia" w:ascii="宋体" w:hAnsi="宋体" w:cs="宋体"/>
          <w:sz w:val="24"/>
          <w:highlight w:val="none"/>
          <w:u w:val="single"/>
        </w:rPr>
        <w:t xml:space="preserve"> </w:t>
      </w:r>
      <w:r>
        <w:rPr>
          <w:rFonts w:hint="eastAsia" w:ascii="宋体" w:hAnsi="宋体" w:cs="宋体"/>
          <w:i/>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5．供热与供冷系统为</w:t>
      </w:r>
      <w:r>
        <w:rPr>
          <w:rFonts w:hint="eastAsia" w:ascii="宋体" w:hAnsi="宋体" w:cs="宋体"/>
          <w:sz w:val="24"/>
          <w:highlight w:val="none"/>
          <w:u w:val="single"/>
        </w:rPr>
        <w:t xml:space="preserve"> </w:t>
      </w:r>
      <w:r>
        <w:rPr>
          <w:rFonts w:hint="eastAsia" w:ascii="宋体" w:hAnsi="宋体" w:cs="宋体"/>
          <w:i/>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个采暖期、供冷期；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6．住宅小区内的给排水设施、道路等配套工程为</w:t>
      </w:r>
      <w:r>
        <w:rPr>
          <w:rFonts w:hint="eastAsia" w:ascii="宋体" w:hAnsi="宋体" w:cs="宋体"/>
          <w:sz w:val="24"/>
          <w:highlight w:val="none"/>
          <w:u w:val="single"/>
        </w:rPr>
        <w:t xml:space="preserve">  </w:t>
      </w:r>
      <w:r>
        <w:rPr>
          <w:rFonts w:hint="eastAsia" w:ascii="宋体" w:hAnsi="宋体" w:cs="宋体"/>
          <w:i/>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7．其他项目保修期限约定如下：</w:t>
      </w:r>
      <w:r>
        <w:rPr>
          <w:rFonts w:hint="eastAsia" w:ascii="宋体" w:hAnsi="宋体" w:cs="宋体"/>
          <w:b/>
          <w:bCs/>
          <w:sz w:val="24"/>
          <w:highlight w:val="none"/>
          <w:u w:val="single"/>
          <w:lang w:val="en-US" w:eastAsia="zh-CN"/>
        </w:rPr>
        <w:t xml:space="preserve">  2 </w:t>
      </w:r>
      <w:r>
        <w:rPr>
          <w:rFonts w:ascii="宋体" w:hAnsi="宋体" w:cs="宋体"/>
          <w:b/>
          <w:bCs/>
          <w:sz w:val="24"/>
          <w:highlight w:val="none"/>
          <w:u w:val="single"/>
        </w:rPr>
        <w:t xml:space="preserve">年。</w:t>
      </w:r>
      <w:r/>
    </w:p>
    <w:p>
      <w:pPr>
        <w:ind w:firstLine="482"/>
        <w:spacing w:after="120"/>
        <w:rPr>
          <w:rFonts w:ascii="宋体" w:hAnsi="宋体" w:cs="宋体"/>
          <w:sz w:val="24"/>
          <w:highlight w:val="none"/>
        </w:rPr>
      </w:pPr>
      <w:r>
        <w:rPr>
          <w:rFonts w:hint="eastAsia" w:ascii="宋体" w:hAnsi="宋体" w:cs="宋体"/>
          <w:b/>
          <w:sz w:val="24"/>
          <w:highlight w:val="none"/>
        </w:rPr>
        <w:t xml:space="preserve">质量保修期自竣工验收合格之日起计算</w:t>
      </w:r>
      <w:r>
        <w:rPr>
          <w:rFonts w:hint="eastAsia" w:ascii="宋体" w:hAnsi="宋体" w:cs="宋体"/>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三、缺陷责任期</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工程缺陷责任期为</w:t>
      </w:r>
      <w:r>
        <w:rPr>
          <w:rFonts w:hint="eastAsia" w:ascii="宋体" w:hAnsi="宋体" w:cs="宋体"/>
          <w:b/>
          <w:color w:val="000000"/>
          <w:sz w:val="24"/>
          <w:highlight w:val="none"/>
          <w:u w:val="single"/>
          <w:lang w:val="en-US" w:eastAsia="zh-CN"/>
        </w:rPr>
        <w:t xml:space="preserve"> 24</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缺陷责任期终止后，发包人应退还剩余的质量保证金。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四、质量保修责任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2．发生紧急事故需抢修的，承包人在接到事故通知后，应当立即到达事故现场抢修。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4．在工程设计使用期内，承包人确保地基基础工程和主体结构的质量。因承包人原因致使工程在设计使用期内造成人身和财产损害的，承包人应承担损害赔偿责任。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5.质量保修完成后，由发包人组织验收。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五、保修费用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保修费用由造成质量缺陷的责任方承担，工程质量保修金为发包人指定的审计单位确认最终审计结算价的3%。</w:t>
      </w:r>
      <w:r/>
    </w:p>
    <w:p>
      <w:pPr>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六</w:t>
      </w:r>
      <w:r>
        <w:rPr>
          <w:rFonts w:hint="eastAsia" w:ascii="宋体" w:hAnsi="宋体" w:cs="宋体"/>
          <w:color w:val="000000"/>
          <w:sz w:val="24"/>
          <w:highlight w:val="none"/>
        </w:rPr>
        <w:t xml:space="preserve">、双方约定的其他工程质量保修事项：</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（1）工程保修期内，承包人委托一名代表专职处理本工程的维修工作。</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（2）本合同约定的质量保修金银行利率为0。</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（3）承包人实施工程质量保修须遵守有关规定。</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（4）因承包人未能及时履行保修责任引起发包人的一切损失，均由承包人承担，发生的保修费用由发包人从保修金中抵扣。不足部分，由承包人承担。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本工程质量保修书，由施工合同发包人、承包人三方在竣工验收前共同签署，作为施工合同附件，其有效期限至保修期满。</w:t>
      </w:r>
      <w:r/>
    </w:p>
    <w:p>
      <w:pPr>
        <w:jc w:val="left"/>
        <w:spacing w:line="420" w:lineRule="exact"/>
        <w:rPr>
          <w:rFonts w:ascii="宋体" w:hAnsi="宋体" w:cs="宋体"/>
          <w:color w:val="000000"/>
          <w:sz w:val="24"/>
          <w:highlight w:val="none"/>
        </w:rPr>
      </w:pPr>
      <w:r>
        <w:rPr>
          <w:rFonts w:ascii="宋体" w:hAnsi="宋体" w:cs="宋体"/>
          <w:color w:val="000000"/>
          <w:sz w:val="24"/>
          <w:highlight w:val="none"/>
        </w:rPr>
      </w:r>
      <w:r/>
    </w:p>
    <w:p>
      <w:pPr>
        <w:pStyle w:val="811"/>
        <w:rPr>
          <w:highlight w:val="none"/>
        </w:rPr>
      </w:pP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发包人（公章）：                   承包人（公章）：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法定代表人（签字或盖章）：         法定代表人（签字或盖章）： </w:t>
      </w:r>
      <w:r/>
    </w:p>
    <w:p>
      <w:pPr>
        <w:spacing w:line="460" w:lineRule="exact"/>
        <w:rPr>
          <w:rFonts w:ascii="宋体" w:hAnsi="宋体"/>
          <w:b/>
          <w:sz w:val="32"/>
          <w:szCs w:val="32"/>
          <w:highlight w:val="none"/>
        </w:rPr>
      </w:pPr>
      <w:r>
        <w:rPr>
          <w:rFonts w:hint="eastAsia" w:ascii="宋体" w:hAnsi="宋体" w:cs="宋体"/>
          <w:sz w:val="24"/>
          <w:highlight w:val="none"/>
        </w:rPr>
        <w:t xml:space="preserve">                                               年   月  日</w:t>
      </w:r>
      <w:r>
        <w:rPr>
          <w:b/>
          <w:bCs/>
          <w:sz w:val="24"/>
          <w:highlight w:val="none"/>
        </w:rPr>
        <w:br w:type="page" w:clear="all"/>
      </w:r>
      <w:r>
        <w:rPr>
          <w:rFonts w:hint="eastAsia" w:ascii="宋体" w:hAnsi="宋体" w:cs="宋体"/>
          <w:sz w:val="24"/>
          <w:highlight w:val="none"/>
        </w:rPr>
        <w:t xml:space="preserve">附件8：       </w:t>
      </w:r>
      <w:r>
        <w:rPr>
          <w:rFonts w:hint="eastAsia" w:ascii="仿宋" w:hAnsi="仿宋" w:eastAsia="仿宋" w:cs="宋体"/>
          <w:szCs w:val="21"/>
          <w:highlight w:val="none"/>
        </w:rPr>
        <w:t xml:space="preserve">              </w:t>
      </w:r>
      <w:r>
        <w:rPr>
          <w:rFonts w:hint="eastAsia" w:ascii="宋体" w:hAnsi="宋体"/>
          <w:b/>
          <w:sz w:val="32"/>
          <w:szCs w:val="32"/>
          <w:highlight w:val="none"/>
        </w:rPr>
        <w:t xml:space="preserve">不拖欠农民工工资的承诺</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b/>
          <w:bCs/>
          <w:szCs w:val="21"/>
          <w:highlight w:val="none"/>
          <w:u w:val="single"/>
        </w:rPr>
        <w:t xml:space="preserve"> </w:t>
      </w:r>
      <w:r>
        <w:rPr>
          <w:rFonts w:ascii="宋体" w:hAnsi="宋体" w:eastAsia="宋体" w:cs="宋体"/>
          <w:b/>
          <w:bCs/>
          <w:szCs w:val="21"/>
          <w:highlight w:val="none"/>
          <w:u w:val="single"/>
        </w:rPr>
        <w:t xml:space="preserve">                            </w:t>
      </w:r>
      <w:r/>
    </w:p>
    <w:p>
      <w:pPr>
        <w:ind w:firstLine="420"/>
        <w:spacing w:line="360" w:lineRule="auto"/>
        <w:rPr>
          <w:rFonts w:ascii="宋体" w:hAnsi="宋体" w:eastAsia="宋体" w:cs="宋体"/>
          <w:sz w:val="24"/>
          <w:highlight w:val="none"/>
        </w:rPr>
      </w:pPr>
      <w:r>
        <w:rPr>
          <w:rFonts w:hint="eastAsia" w:ascii="宋体" w:hAnsi="宋体" w:eastAsia="宋体" w:cs="宋体"/>
          <w:sz w:val="24"/>
          <w:highlight w:val="none"/>
        </w:rPr>
        <w:t xml:space="preserve">我单位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在工程施工过程中,我们除响应本项目</w:t>
      </w:r>
      <w:r>
        <w:rPr>
          <w:rFonts w:hint="eastAsia" w:ascii="宋体" w:hAnsi="宋体" w:eastAsia="宋体" w:cs="宋体"/>
          <w:sz w:val="24"/>
          <w:highlight w:val="none"/>
          <w:lang w:eastAsia="zh-CN"/>
        </w:rPr>
        <w:t xml:space="preserve">磋商文件</w:t>
      </w:r>
      <w:r>
        <w:rPr>
          <w:rFonts w:hint="eastAsia" w:ascii="宋体" w:hAnsi="宋体" w:eastAsia="宋体" w:cs="宋体"/>
          <w:sz w:val="24"/>
          <w:highlight w:val="none"/>
        </w:rPr>
        <w:t xml:space="preserve">的所有条款、履行合同内容外,并郑重承诺：</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在项目实施过程中,我单位将根据工程进度,及时支付农民工工资,不从农民工工资中扣留质保金等其他费用,同时也不以工程变更或计量支付未批复为借口延期支付农民工工资。如果项目资金不能及时到位,我单位将用自有流动资金及时支付农民工工资,避免恶意拖欠。</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    2、解决好农民工食宿问题,确保食堂卫生,住宿整洁。</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    3、我单位承诺在发包方指定的银行开设该项目“农民工工资专用账户”,用于该项目已实名登记的农民工工资发放,实行工程项目人工费用与其他工程款分账管理,每笔工程款支付时由发包人直接将20%的应支付的工程款汇至“农民工工资专用账户”。</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t xml:space="preserve">4</w:t>
      </w:r>
      <w:r>
        <w:rPr>
          <w:rFonts w:hint="eastAsia" w:ascii="宋体" w:hAnsi="宋体" w:eastAsia="宋体" w:cs="宋体"/>
          <w:sz w:val="24"/>
          <w:highlight w:val="none"/>
        </w:rPr>
        <w:t xml:space="preserve">、我单位若拖欠民工工资引起民工上访事件,发包人将有权无条件地暂停支付当期工程进度款用于支付民工工资,或启用履约保证金以</w:t>
      </w:r>
      <w:r>
        <w:rPr>
          <w:rFonts w:hint="eastAsia" w:ascii="宋体" w:hAnsi="宋体" w:eastAsia="宋体" w:cs="宋体"/>
          <w:sz w:val="24"/>
          <w:highlight w:val="none"/>
        </w:rPr>
        <w:t xml:space="preserve">及发包人应付我单位的任何款项用于支付民工工资。我单位因拖欠货款工程款而使其直接向发包人追索价款或到发包人处、政府滋生事端的,我单位应向发包人支付本合同价款1%的违约金,发包人有权启用履约保证金或动用发包人应付我单位的任何款项支付货款或工程款。我单位出现拖欠工资等债务纠纷或在现场产生公害等不正当行为,或发生其它给发包人造成不便或影响公众形象,则每出现一次上述情况,我单位应向发包人支付人民币2万元的违约金。若违约金无法弥补发包人的损失，我单位应赔偿发包人的经济损失,即使这种不正当行为或违约是在工程竣工之后发现。</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、发包人将定期或不定期对我单位施工期间的农民工工资发放进行调查,每调查发现一次我单位及其下属分包人拖欠民工工资以及拖欠分承包人、供应商等单位和人员债务,我单位应向发包人支付2-5万元</w:t>
      </w:r>
      <w:r>
        <w:rPr>
          <w:rFonts w:hint="eastAsia" w:ascii="宋体" w:hAnsi="宋体" w:eastAsia="宋体" w:cs="宋体"/>
          <w:sz w:val="24"/>
          <w:highlight w:val="none"/>
          <w:lang w:val="en-GB"/>
        </w:rPr>
        <w:t xml:space="preserve">/</w:t>
      </w:r>
      <w:r>
        <w:rPr>
          <w:rFonts w:hint="eastAsia" w:ascii="宋体" w:hAnsi="宋体" w:eastAsia="宋体" w:cs="宋体"/>
          <w:sz w:val="24"/>
          <w:highlight w:val="none"/>
        </w:rPr>
        <w:t xml:space="preserve">次的违约金,具体金额由发包人确定。</w:t>
      </w:r>
      <w:r/>
    </w:p>
    <w:p>
      <w:pPr>
        <w:ind w:firstLine="4622"/>
        <w:spacing w:line="360" w:lineRule="auto"/>
        <w:rPr>
          <w:rFonts w:ascii="宋体" w:hAnsi="宋体" w:eastAsia="宋体" w:cs="宋体"/>
          <w:sz w:val="24"/>
          <w:highlight w:val="none"/>
        </w:rPr>
      </w:pPr>
      <w:r>
        <w:rPr>
          <w:rFonts w:ascii="宋体" w:hAnsi="宋体" w:eastAsia="宋体" w:cs="宋体"/>
          <w:sz w:val="24"/>
          <w:highlight w:val="none"/>
        </w:rPr>
      </w:r>
      <w:r/>
    </w:p>
    <w:p>
      <w:pPr>
        <w:ind w:firstLine="5520"/>
        <w:spacing w:line="360" w:lineRule="auto"/>
        <w:rPr>
          <w:rFonts w:ascii="宋体" w:hAnsi="宋体" w:eastAsia="宋体" w:cs="宋体"/>
          <w:sz w:val="24"/>
          <w:highlight w:val="none"/>
        </w:rPr>
      </w:pPr>
      <w:r>
        <w:rPr>
          <w:rFonts w:hint="eastAsia" w:ascii="宋体" w:hAnsi="宋体" w:eastAsia="宋体" w:cs="宋体"/>
          <w:sz w:val="24"/>
          <w:highlight w:val="none"/>
        </w:rPr>
        <w:t xml:space="preserve">承诺单位（盖章）</w:t>
      </w:r>
      <w:r/>
    </w:p>
    <w:p>
      <w:pPr>
        <w:ind w:firstLine="5520"/>
        <w:spacing w:line="360" w:lineRule="auto"/>
        <w:rPr>
          <w:rFonts w:ascii="宋体" w:hAnsi="宋体" w:eastAsia="宋体" w:cs="宋体"/>
          <w:sz w:val="24"/>
          <w:highlight w:val="none"/>
        </w:rPr>
      </w:pPr>
      <w:r>
        <w:rPr>
          <w:rFonts w:hint="eastAsia" w:ascii="宋体" w:hAnsi="宋体" w:eastAsia="宋体" w:cs="宋体"/>
          <w:sz w:val="24"/>
          <w:highlight w:val="none"/>
        </w:rPr>
        <w:t xml:space="preserve">法人代表(签字)</w:t>
      </w:r>
      <w:r/>
    </w:p>
    <w:p>
      <w:pPr>
        <w:ind w:firstLine="6000"/>
        <w:spacing w:line="360" w:lineRule="auto"/>
        <w:rPr>
          <w:rFonts w:ascii="宋体" w:hAnsi="宋体" w:eastAsia="宋体" w:cs="宋体"/>
          <w:sz w:val="24"/>
          <w:highlight w:val="none"/>
        </w:rPr>
      </w:pPr>
      <w:r>
        <w:rPr>
          <w:rFonts w:hint="eastAsia" w:ascii="宋体" w:hAnsi="宋体" w:eastAsia="宋体" w:cs="宋体"/>
          <w:sz w:val="24"/>
          <w:highlight w:val="none"/>
        </w:rPr>
        <w:t xml:space="preserve">年  月  日</w:t>
      </w:r>
      <w:r/>
    </w:p>
    <w:p>
      <w:pPr>
        <w:spacing w:line="400" w:lineRule="exact"/>
        <w:rPr>
          <w:rFonts w:ascii="仿宋" w:hAnsi="仿宋" w:eastAsia="仿宋" w:cs="宋体"/>
          <w:sz w:val="18"/>
          <w:szCs w:val="18"/>
          <w:highlight w:val="none"/>
        </w:rPr>
      </w:pPr>
      <w:r>
        <w:rPr>
          <w:rFonts w:hint="eastAsia" w:ascii="仿宋" w:hAnsi="仿宋" w:eastAsia="仿宋" w:cs="宋体"/>
          <w:sz w:val="18"/>
          <w:szCs w:val="18"/>
          <w:highlight w:val="none"/>
        </w:rPr>
        <w:t xml:space="preserve">注：</w:t>
      </w:r>
      <w:r>
        <w:rPr>
          <w:rFonts w:hint="eastAsia" w:ascii="仿宋" w:hAnsi="仿宋" w:eastAsia="仿宋" w:cs="宋体"/>
          <w:sz w:val="18"/>
          <w:szCs w:val="18"/>
          <w:highlight w:val="none"/>
          <w:lang w:eastAsia="zh-CN"/>
        </w:rPr>
        <w:t xml:space="preserve">成交</w:t>
      </w:r>
      <w:r>
        <w:rPr>
          <w:rFonts w:hint="eastAsia" w:ascii="仿宋" w:hAnsi="仿宋" w:eastAsia="仿宋" w:cs="宋体"/>
          <w:sz w:val="18"/>
          <w:szCs w:val="18"/>
          <w:highlight w:val="none"/>
        </w:rPr>
        <w:t xml:space="preserve">人于签订合同前三个工作日内必须向业主提供该承诺书原件，否则</w:t>
      </w:r>
      <w:r>
        <w:rPr>
          <w:rFonts w:hint="eastAsia" w:ascii="仿宋" w:hAnsi="仿宋" w:eastAsia="仿宋" w:cs="宋体"/>
          <w:sz w:val="18"/>
          <w:szCs w:val="18"/>
          <w:highlight w:val="none"/>
          <w:lang w:eastAsia="zh-CN"/>
        </w:rPr>
        <w:t xml:space="preserve">采购单位</w:t>
      </w:r>
      <w:r>
        <w:rPr>
          <w:rFonts w:hint="eastAsia" w:ascii="仿宋" w:hAnsi="仿宋" w:eastAsia="仿宋" w:cs="宋体"/>
          <w:sz w:val="18"/>
          <w:szCs w:val="18"/>
          <w:highlight w:val="none"/>
        </w:rPr>
        <w:t xml:space="preserve">有权取消投标人</w:t>
      </w:r>
      <w:r>
        <w:rPr>
          <w:rFonts w:hint="eastAsia" w:ascii="仿宋" w:hAnsi="仿宋" w:eastAsia="仿宋" w:cs="宋体"/>
          <w:sz w:val="18"/>
          <w:szCs w:val="18"/>
          <w:highlight w:val="none"/>
          <w:lang w:eastAsia="zh-CN"/>
        </w:rPr>
        <w:t xml:space="preserve">成交</w:t>
      </w:r>
      <w:r>
        <w:rPr>
          <w:rFonts w:hint="eastAsia" w:ascii="仿宋" w:hAnsi="仿宋" w:eastAsia="仿宋" w:cs="宋体"/>
          <w:sz w:val="18"/>
          <w:szCs w:val="18"/>
          <w:highlight w:val="none"/>
        </w:rPr>
        <w:t xml:space="preserve">资格。</w:t>
      </w:r>
      <w:r/>
    </w:p>
    <w:p>
      <w:pPr>
        <w:jc w:val="center"/>
        <w:spacing w:line="500" w:lineRule="exact"/>
        <w:rPr>
          <w:rFonts w:hint="eastAsia" w:ascii="宋体" w:hAnsi="宋体" w:cs="宋体"/>
          <w:b/>
          <w:bCs/>
          <w:color w:val="000000"/>
          <w:sz w:val="36"/>
          <w:szCs w:val="36"/>
          <w:highlight w:val="none"/>
          <w:lang w:val="zh-CN"/>
        </w:rPr>
        <w:outlineLvl w:val="0"/>
      </w:pPr>
      <w:r>
        <w:rPr>
          <w:rFonts w:hint="eastAsia" w:ascii="宋体" w:hAnsi="宋体"/>
          <w:b/>
          <w:bCs/>
          <w:sz w:val="36"/>
          <w:szCs w:val="36"/>
          <w:highlight w:val="none"/>
          <w:lang w:eastAsia="zh-CN"/>
        </w:rPr>
        <w:br w:type="page" w:clear="all"/>
      </w:r>
      <w:r>
        <w:rPr>
          <w:rFonts w:hint="eastAsia" w:ascii="宋体" w:hAnsi="宋体" w:cs="宋体"/>
          <w:b/>
          <w:bCs/>
          <w:color w:val="000000"/>
          <w:sz w:val="36"/>
          <w:szCs w:val="36"/>
          <w:highlight w:val="none"/>
          <w:lang w:val="zh-CN"/>
        </w:rPr>
        <w:t xml:space="preserve">第六部分 响应文件组成</w:t>
      </w:r>
      <w:r/>
    </w:p>
    <w:p>
      <w:pPr>
        <w:jc w:val="center"/>
        <w:spacing w:line="500" w:lineRule="exact"/>
        <w:rPr>
          <w:rFonts w:hint="eastAsia" w:ascii="宋体" w:hAnsi="宋体" w:cs="宋体"/>
          <w:b/>
          <w:bCs/>
          <w:color w:val="000000"/>
          <w:sz w:val="36"/>
          <w:szCs w:val="36"/>
          <w:highlight w:val="none"/>
          <w:lang w:val="zh-CN"/>
        </w:rPr>
        <w:outlineLvl w:val="0"/>
      </w:pPr>
      <w:r>
        <w:rPr>
          <w:rFonts w:hint="eastAsia" w:ascii="宋体" w:hAnsi="宋体" w:cs="宋体"/>
          <w:b/>
          <w:bCs/>
          <w:color w:val="000000"/>
          <w:sz w:val="36"/>
          <w:szCs w:val="36"/>
          <w:highlight w:val="none"/>
          <w:lang w:val="zh-CN"/>
        </w:rPr>
      </w:r>
      <w:r/>
    </w:p>
    <w:p>
      <w:pPr>
        <w:ind w:firstLine="555"/>
        <w:jc w:val="left"/>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响应文件由资格审查文件、商务技术标、价格文件三部分组成。</w:t>
      </w:r>
      <w:r/>
    </w:p>
    <w:p>
      <w:pPr>
        <w:spacing w:line="46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一、资格审查文件</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 有效的投标人符合《政府采购法》第二十二条规定条件的承诺函</w:t>
      </w:r>
      <w:r>
        <w:rPr>
          <w:rFonts w:hint="eastAsia" w:ascii="宋体" w:hAnsi="宋体" w:cs="宋体"/>
          <w:color w:val="000000"/>
          <w:sz w:val="24"/>
          <w:highlight w:val="none"/>
          <w:lang w:val="zh-CN"/>
        </w:rPr>
        <w:t xml:space="preserve">（格式见附件1）；</w:t>
      </w:r>
      <w:r/>
    </w:p>
    <w:p>
      <w:pPr>
        <w:ind w:firstLine="480"/>
        <w:spacing w:line="460" w:lineRule="exact"/>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 有效的</w:t>
      </w:r>
      <w:r>
        <w:rPr>
          <w:rFonts w:hint="eastAsia" w:ascii="宋体" w:hAnsi="宋体" w:cs="宋体"/>
          <w:color w:val="000000"/>
          <w:sz w:val="24"/>
          <w:highlight w:val="none"/>
          <w:lang w:val="zh-CN"/>
        </w:rPr>
        <w:t xml:space="preserve">法定代表人身份证明书（格式见附件2）</w:t>
      </w:r>
      <w:r>
        <w:rPr>
          <w:rFonts w:hint="eastAsia" w:ascii="宋体" w:hAnsi="宋体" w:cs="宋体"/>
          <w:b/>
          <w:bCs/>
          <w:color w:val="000000"/>
          <w:sz w:val="24"/>
          <w:highlight w:val="none"/>
          <w:lang w:val="zh-CN"/>
        </w:rPr>
        <w:t xml:space="preserve">；</w:t>
      </w:r>
      <w:r/>
    </w:p>
    <w:p>
      <w:pPr>
        <w:ind w:firstLine="480"/>
        <w:spacing w:line="460" w:lineRule="exact"/>
        <w:rPr>
          <w:highlight w:val="none"/>
        </w:rPr>
      </w:pPr>
      <w:r>
        <w:rPr>
          <w:rFonts w:hint="eastAsia" w:ascii="宋体" w:hAnsi="宋体" w:cs="宋体"/>
          <w:color w:val="000000"/>
          <w:sz w:val="24"/>
          <w:highlight w:val="none"/>
        </w:rPr>
        <w:t xml:space="preserve">3. </w:t>
      </w:r>
      <w:r>
        <w:rPr>
          <w:rFonts w:hint="eastAsia" w:ascii="宋体" w:hAnsi="宋体" w:cs="宋体"/>
          <w:color w:val="000000"/>
          <w:sz w:val="24"/>
          <w:highlight w:val="none"/>
          <w:lang w:eastAsia="zh-CN"/>
        </w:rPr>
        <w:t xml:space="preserve">委托代理人的授权委托书及委托代理人为供应商正式员工的证明材料，须提供</w:t>
      </w:r>
      <w:r>
        <w:rPr>
          <w:rFonts w:hint="eastAsia" w:ascii="宋体" w:hAnsi="宋体" w:cs="宋体"/>
          <w:color w:val="000000"/>
          <w:sz w:val="24"/>
          <w:highlight w:val="none"/>
        </w:rPr>
        <w:t xml:space="preserve">有效的授权委托书(格式见附件3)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有效的响应供应商与</w:t>
      </w:r>
      <w:r>
        <w:rPr>
          <w:rFonts w:hint="eastAsia" w:ascii="宋体" w:hAnsi="宋体" w:cs="宋体"/>
          <w:color w:val="000000"/>
          <w:sz w:val="24"/>
          <w:highlight w:val="none"/>
          <w:lang w:eastAsia="zh-CN"/>
        </w:rPr>
        <w:t xml:space="preserve">委托代理</w:t>
      </w:r>
      <w:r>
        <w:rPr>
          <w:rFonts w:hint="eastAsia" w:ascii="宋体" w:hAnsi="宋体" w:cs="宋体"/>
          <w:color w:val="000000"/>
          <w:sz w:val="24"/>
          <w:highlight w:val="none"/>
        </w:rPr>
        <w:t xml:space="preserve">人双方签订的有效劳动合同书</w:t>
      </w:r>
      <w:r>
        <w:rPr>
          <w:rFonts w:hint="eastAsia" w:ascii="宋体" w:hAnsi="宋体" w:cs="宋体"/>
          <w:color w:val="000000"/>
          <w:sz w:val="24"/>
          <w:highlight w:val="none"/>
          <w:lang w:eastAsia="zh-CN"/>
        </w:rPr>
        <w:t xml:space="preserve">及社保机构出具的该供应商为其缴纳近期（至少缴纳了</w:t>
      </w:r>
      <w:r>
        <w:rPr>
          <w:rFonts w:hint="eastAsia" w:ascii="宋体" w:hAnsi="宋体" w:cs="宋体"/>
          <w:color w:val="000000"/>
          <w:sz w:val="24"/>
          <w:highlight w:val="none"/>
          <w:lang w:val="en-US" w:eastAsia="zh-CN"/>
        </w:rPr>
        <w:t xml:space="preserve">2025年9月至2025年11月期间任意1个月）</w:t>
      </w:r>
      <w:r>
        <w:rPr>
          <w:rFonts w:hint="eastAsia" w:ascii="宋体" w:hAnsi="宋体" w:cs="宋体"/>
          <w:color w:val="000000"/>
          <w:sz w:val="24"/>
          <w:highlight w:val="none"/>
          <w:lang w:eastAsia="zh-CN"/>
        </w:rPr>
        <w:t xml:space="preserve">养老保险的证明材料</w:t>
      </w:r>
      <w:r>
        <w:rPr>
          <w:rFonts w:hint="eastAsia" w:ascii="宋体" w:hAnsi="宋体" w:cs="宋体"/>
          <w:b/>
          <w:bCs/>
          <w:color w:val="000000"/>
          <w:sz w:val="24"/>
          <w:highlight w:val="none"/>
          <w:lang w:val="zh-CN"/>
        </w:rPr>
        <w:t xml:space="preserve">；</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有效的营业执照扫描件；</w:t>
      </w:r>
      <w:r/>
    </w:p>
    <w:p>
      <w:pPr>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响应供应商须有效的</w:t>
      </w:r>
      <w:r>
        <w:rPr>
          <w:rFonts w:hint="eastAsia" w:ascii="宋体" w:hAnsi="宋体"/>
          <w:b/>
          <w:bCs/>
          <w:sz w:val="24"/>
          <w:szCs w:val="24"/>
          <w:highlight w:val="none"/>
          <w:lang w:eastAsia="zh-CN"/>
        </w:rPr>
        <w:t xml:space="preserve">建筑机电安装工程专业承包叁级及以上施工资质</w:t>
      </w:r>
      <w:r>
        <w:rPr>
          <w:rFonts w:hint="eastAsia" w:ascii="宋体" w:hAnsi="宋体" w:cs="宋体"/>
          <w:color w:val="000000"/>
          <w:sz w:val="24"/>
          <w:szCs w:val="24"/>
          <w:highlight w:val="none"/>
          <w:lang w:val="zh-CN"/>
        </w:rPr>
        <w:t xml:space="preserve">，</w:t>
      </w:r>
      <w:r>
        <w:rPr>
          <w:rFonts w:hint="eastAsia" w:ascii="宋体" w:hAnsi="宋体" w:cs="宋体"/>
          <w:color w:val="000000"/>
          <w:sz w:val="24"/>
          <w:highlight w:val="none"/>
        </w:rPr>
        <w:t xml:space="preserve">提供有效的企业资质证书扫描件</w:t>
      </w:r>
      <w:r>
        <w:rPr>
          <w:rFonts w:hint="eastAsia" w:ascii="宋体" w:hAnsi="宋体" w:cs="宋体"/>
          <w:b/>
          <w:bCs/>
          <w:color w:val="000000"/>
          <w:sz w:val="24"/>
          <w:highlight w:val="none"/>
        </w:rPr>
        <w:t xml:space="preserve">；</w:t>
      </w:r>
      <w:r/>
    </w:p>
    <w:p>
      <w:pPr>
        <w:ind w:firstLine="48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提供有效的安全生产许</w:t>
      </w:r>
      <w:r>
        <w:rPr>
          <w:rFonts w:hint="eastAsia" w:ascii="宋体" w:hAnsi="宋体" w:eastAsia="宋体" w:cs="宋体"/>
          <w:color w:val="000000"/>
          <w:sz w:val="24"/>
          <w:highlight w:val="none"/>
        </w:rPr>
        <w:t xml:space="preserve">可证扫描件；</w:t>
      </w:r>
      <w:r/>
    </w:p>
    <w:p>
      <w:pPr>
        <w:ind w:firstLine="48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 </w:t>
      </w:r>
      <w:r>
        <w:rPr>
          <w:rFonts w:hint="eastAsia" w:ascii="宋体" w:hAnsi="宋体" w:eastAsia="宋体" w:cs="宋体"/>
          <w:color w:val="000000"/>
          <w:sz w:val="24"/>
          <w:highlight w:val="none"/>
        </w:rPr>
        <w:t xml:space="preserve">供应商须具有有效的《</w:t>
      </w:r>
      <w:r>
        <w:rPr>
          <w:rFonts w:hint="eastAsia" w:ascii="宋体" w:hAnsi="宋体" w:eastAsia="宋体" w:cs="宋体"/>
          <w:color w:val="000000"/>
          <w:sz w:val="24"/>
          <w:highlight w:val="none"/>
          <w:lang w:eastAsia="zh-CN"/>
        </w:rPr>
        <w:t xml:space="preserve">中华人民共和国</w:t>
      </w:r>
      <w:r>
        <w:rPr>
          <w:rFonts w:hint="eastAsia" w:ascii="宋体" w:hAnsi="宋体" w:eastAsia="宋体" w:cs="宋体"/>
          <w:color w:val="000000"/>
          <w:sz w:val="24"/>
          <w:highlight w:val="none"/>
        </w:rPr>
        <w:t xml:space="preserve">特种设备</w:t>
      </w:r>
      <w:r>
        <w:rPr>
          <w:rFonts w:hint="eastAsia" w:ascii="宋体" w:hAnsi="宋体" w:eastAsia="宋体" w:cs="宋体"/>
          <w:color w:val="000000"/>
          <w:sz w:val="24"/>
          <w:highlight w:val="none"/>
          <w:lang w:eastAsia="zh-CN"/>
        </w:rPr>
        <w:t xml:space="preserve">生产许可证（承压类特种设备</w:t>
      </w:r>
      <w:r>
        <w:rPr>
          <w:rFonts w:hint="eastAsia" w:ascii="宋体" w:hAnsi="宋体" w:eastAsia="宋体" w:cs="宋体"/>
          <w:color w:val="000000"/>
          <w:sz w:val="24"/>
          <w:highlight w:val="none"/>
        </w:rPr>
        <w:t xml:space="preserve">安装</w:t>
      </w:r>
      <w:r>
        <w:rPr>
          <w:rFonts w:hint="eastAsia" w:ascii="宋体" w:hAnsi="宋体" w:eastAsia="宋体" w:cs="宋体"/>
          <w:color w:val="000000"/>
          <w:sz w:val="24"/>
          <w:highlight w:val="none"/>
          <w:lang w:eastAsia="zh-CN"/>
        </w:rPr>
        <w:t xml:space="preserve">、修理、改造，工业管道安装</w:t>
      </w:r>
      <w:r>
        <w:rPr>
          <w:rFonts w:hint="eastAsia" w:ascii="宋体" w:hAnsi="宋体" w:eastAsia="宋体" w:cs="宋体"/>
          <w:color w:val="000000"/>
          <w:sz w:val="24"/>
          <w:highlight w:val="none"/>
        </w:rPr>
        <w:t xml:space="preserve">GC2级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w:t>
      </w:r>
      <w:r>
        <w:rPr>
          <w:rFonts w:hint="eastAsia" w:ascii="宋体" w:hAnsi="宋体" w:eastAsia="宋体" w:cs="宋体"/>
          <w:color w:val="000000"/>
          <w:sz w:val="24"/>
          <w:highlight w:val="none"/>
          <w:lang w:eastAsia="zh-CN"/>
        </w:rPr>
        <w:t xml:space="preserve">中华人民共和国特种设备安装改造维修许可证（压力管道</w:t>
      </w:r>
      <w:r>
        <w:rPr>
          <w:rFonts w:hint="eastAsia" w:ascii="宋体" w:hAnsi="宋体" w:eastAsia="宋体" w:cs="宋体"/>
          <w:color w:val="000000"/>
          <w:sz w:val="24"/>
          <w:highlight w:val="none"/>
        </w:rPr>
        <w:t xml:space="preserve">GC2级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》及以上资质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须提供：有效的证书原件的复印件或扫描打印件（须加盖供应商公章）</w:t>
      </w:r>
      <w:r>
        <w:rPr>
          <w:rFonts w:hint="eastAsia" w:ascii="宋体" w:hAnsi="宋体" w:eastAsia="宋体" w:cs="宋体"/>
          <w:color w:val="000000"/>
          <w:sz w:val="24"/>
          <w:highlight w:val="none"/>
          <w:lang w:eastAsia="zh-CN"/>
        </w:rPr>
        <w:t xml:space="preserve">；</w:t>
      </w:r>
      <w:r/>
    </w:p>
    <w:p>
      <w:pPr>
        <w:ind w:firstLine="48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 </w:t>
      </w:r>
      <w:r>
        <w:rPr>
          <w:rFonts w:hint="eastAsia" w:ascii="宋体" w:hAnsi="宋体" w:eastAsia="宋体" w:cs="Times New Roman"/>
          <w:sz w:val="24"/>
          <w:szCs w:val="24"/>
          <w:highlight w:val="none"/>
          <w:lang w:val="en-US" w:eastAsia="zh-CN"/>
        </w:rPr>
        <w:t xml:space="preserve">供应商</w:t>
      </w:r>
      <w:r>
        <w:rPr>
          <w:rFonts w:hint="eastAsia" w:ascii="宋体" w:hAnsi="宋体" w:eastAsia="宋体" w:cs="Times New Roman"/>
          <w:sz w:val="24"/>
          <w:szCs w:val="24"/>
          <w:highlight w:val="none"/>
          <w:lang w:eastAsia="zh-CN"/>
        </w:rPr>
        <w:t xml:space="preserve">须具有有效的</w:t>
      </w:r>
      <w:r>
        <w:rPr>
          <w:rFonts w:hint="eastAsia" w:ascii="宋体" w:hAnsi="宋体" w:eastAsia="宋体" w:cs="Times New Roman"/>
          <w:b/>
          <w:bCs/>
          <w:sz w:val="24"/>
          <w:szCs w:val="24"/>
          <w:highlight w:val="none"/>
          <w:lang w:eastAsia="zh-CN"/>
        </w:rPr>
        <w:t xml:space="preserve">《医疗器械生产许可证》</w:t>
      </w:r>
      <w:r>
        <w:rPr>
          <w:rFonts w:hint="eastAsia" w:ascii="宋体" w:hAnsi="宋体" w:cs="Times New Roman"/>
          <w:b/>
          <w:bCs/>
          <w:sz w:val="24"/>
          <w:szCs w:val="24"/>
          <w:highlight w:val="none"/>
          <w:lang w:eastAsia="zh-CN"/>
        </w:rPr>
        <w:t xml:space="preserve">（生产范围含医用供气排气设备）</w:t>
      </w:r>
      <w:r>
        <w:rPr>
          <w:rFonts w:hint="eastAsia" w:ascii="宋体" w:hAnsi="宋体" w:cs="Times New Roman"/>
          <w:b/>
          <w:bCs/>
          <w:sz w:val="24"/>
          <w:szCs w:val="24"/>
          <w:highlight w:val="none"/>
          <w:lang w:eastAsia="zh-CN"/>
        </w:rPr>
        <w:t xml:space="preserve">和</w:t>
      </w:r>
      <w:r>
        <w:rPr>
          <w:rFonts w:hint="eastAsia" w:ascii="宋体" w:hAnsi="宋体" w:eastAsia="宋体" w:cs="Times New Roman"/>
          <w:b/>
          <w:bCs/>
          <w:sz w:val="24"/>
          <w:szCs w:val="24"/>
          <w:highlight w:val="none"/>
          <w:lang w:eastAsia="zh-CN"/>
        </w:rPr>
        <w:t xml:space="preserve">《中华人民共和国医疗器械注册证》</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产品至少同时含有</w:t>
      </w:r>
      <w:r>
        <w:rPr>
          <w:rFonts w:hint="eastAsia" w:ascii="宋体" w:hAnsi="宋体" w:eastAsia="宋体" w:cs="宋体"/>
          <w:b/>
          <w:bCs/>
          <w:sz w:val="24"/>
          <w:szCs w:val="24"/>
          <w:highlight w:val="none"/>
          <w:lang w:eastAsia="zh-CN"/>
        </w:rPr>
        <w:t xml:space="preserve">①</w:t>
      </w:r>
      <w:r>
        <w:rPr>
          <w:rFonts w:hint="eastAsia" w:ascii="宋体" w:hAnsi="宋体" w:eastAsia="宋体" w:cs="Times New Roman"/>
          <w:b/>
          <w:bCs/>
          <w:sz w:val="24"/>
          <w:szCs w:val="24"/>
          <w:highlight w:val="none"/>
          <w:lang w:eastAsia="zh-CN"/>
        </w:rPr>
        <w:t xml:space="preserve">医用中心吸引系统</w:t>
      </w:r>
      <w:r>
        <w:rPr>
          <w:rFonts w:hint="eastAsia" w:ascii="宋体" w:hAnsi="宋体" w:eastAsia="宋体" w:cs="宋体"/>
          <w:b/>
          <w:bCs/>
          <w:sz w:val="24"/>
          <w:szCs w:val="24"/>
          <w:highlight w:val="none"/>
          <w:lang w:eastAsia="zh-CN"/>
        </w:rPr>
        <w:t xml:space="preserve">②</w:t>
      </w:r>
      <w:r>
        <w:rPr>
          <w:rFonts w:hint="eastAsia" w:ascii="宋体" w:hAnsi="宋体" w:eastAsia="宋体" w:cs="Times New Roman"/>
          <w:b/>
          <w:bCs/>
          <w:sz w:val="24"/>
          <w:szCs w:val="24"/>
          <w:highlight w:val="none"/>
          <w:lang w:eastAsia="zh-CN"/>
        </w:rPr>
        <w:t xml:space="preserve">医用空气系统或医用空气集中供应系统</w:t>
      </w:r>
      <w:r>
        <w:rPr>
          <w:rFonts w:hint="eastAsia" w:ascii="宋体" w:hAnsi="宋体" w:cs="Times New Roman"/>
          <w:b/>
          <w:bCs/>
          <w:sz w:val="24"/>
          <w:szCs w:val="24"/>
          <w:highlight w:val="none"/>
          <w:lang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须提供：有效的证书原件的复印件或扫描打印件（须加盖供应商公章）</w:t>
      </w:r>
      <w:r>
        <w:rPr>
          <w:rFonts w:hint="eastAsia" w:ascii="宋体" w:hAnsi="宋体" w:eastAsia="宋体" w:cs="宋体"/>
          <w:color w:val="000000"/>
          <w:sz w:val="24"/>
          <w:highlight w:val="none"/>
          <w:lang w:eastAsia="zh-CN"/>
        </w:rPr>
        <w:t xml:space="preserve">；</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响应供应商拟派项目负责人须具备有效的</w:t>
      </w:r>
      <w:r>
        <w:rPr>
          <w:rFonts w:hint="eastAsia" w:ascii="宋体" w:hAnsi="宋体" w:eastAsia="宋体" w:cs="Times New Roman"/>
          <w:b/>
          <w:bCs/>
          <w:sz w:val="24"/>
          <w:szCs w:val="24"/>
          <w:highlight w:val="none"/>
          <w:lang w:eastAsia="zh-CN"/>
        </w:rPr>
        <w:t xml:space="preserve">机电工程</w:t>
      </w:r>
      <w:r>
        <w:rPr>
          <w:rFonts w:hint="eastAsia" w:ascii="宋体" w:hAnsi="宋体" w:eastAsia="宋体" w:cs="Times New Roman"/>
          <w:b/>
          <w:bCs/>
          <w:sz w:val="24"/>
          <w:szCs w:val="24"/>
          <w:highlight w:val="none"/>
          <w:lang w:val="zh-CN" w:eastAsia="zh-CN"/>
        </w:rPr>
        <w:t xml:space="preserve">专业贰级及以上</w:t>
      </w:r>
      <w:r>
        <w:rPr>
          <w:rFonts w:hint="eastAsia" w:ascii="宋体" w:hAnsi="宋体" w:cs="宋体"/>
          <w:color w:val="000000"/>
          <w:sz w:val="24"/>
          <w:highlight w:val="none"/>
          <w:lang w:val="zh-CN"/>
        </w:rPr>
        <w:t xml:space="preserve">注册建造师资格，同时具有建筑施工企业安全生产考核合格证书（B证）（以上证书的注册单位均为本供应商），须提供有效的建造师注册证书和建筑施工企业安全生产考核合格证书（B证）的扫描件；</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 拟派项目负责人为投标人的正式员工，提供有效的响应供应商与拟派项目负责人双方签订的有效劳动合同书</w:t>
      </w:r>
      <w:r>
        <w:rPr>
          <w:rFonts w:hint="eastAsia" w:ascii="宋体" w:hAnsi="宋体" w:cs="宋体"/>
          <w:color w:val="000000"/>
          <w:sz w:val="24"/>
          <w:highlight w:val="none"/>
          <w:lang w:eastAsia="zh-CN"/>
        </w:rPr>
        <w:t xml:space="preserve">及社保机构出具的该供应商为其缴纳近期（至少缴纳了</w:t>
      </w:r>
      <w:r>
        <w:rPr>
          <w:rFonts w:hint="eastAsia" w:ascii="宋体" w:hAnsi="宋体" w:cs="宋体"/>
          <w:color w:val="000000"/>
          <w:sz w:val="24"/>
          <w:highlight w:val="none"/>
          <w:lang w:val="en-US" w:eastAsia="zh-CN"/>
        </w:rPr>
        <w:t xml:space="preserve">2025年9月至2025年11月期间任意1个月）</w:t>
      </w:r>
      <w:r>
        <w:rPr>
          <w:rFonts w:hint="eastAsia" w:ascii="宋体" w:hAnsi="宋体" w:cs="宋体"/>
          <w:color w:val="000000"/>
          <w:sz w:val="24"/>
          <w:highlight w:val="none"/>
          <w:lang w:eastAsia="zh-CN"/>
        </w:rPr>
        <w:t xml:space="preserve">养老保险的证明材料</w:t>
      </w:r>
      <w:r>
        <w:rPr>
          <w:rFonts w:hint="eastAsia" w:ascii="宋体" w:hAnsi="宋体" w:cs="宋体"/>
          <w:color w:val="000000"/>
          <w:sz w:val="24"/>
          <w:highlight w:val="none"/>
        </w:rPr>
        <w:t xml:space="preserve">；</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 提供有效的拟派项目负责人无在建工程承诺书（格式见附件4）；</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提供有效的</w:t>
      </w:r>
      <w:r>
        <w:rPr>
          <w:rFonts w:hint="eastAsia" w:ascii="宋体" w:hAnsi="宋体" w:cs="宋体"/>
          <w:color w:val="000000"/>
          <w:sz w:val="24"/>
          <w:highlight w:val="none"/>
          <w:lang w:val="zh-CN"/>
        </w:rPr>
        <w:t xml:space="preserve">供应商信用承诺书（格式见附件</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供应商未被“信用中国”网站（www.creditchina.gov.cn）列入失信被执行人、重大税收违法案件当事人名单、政府采购严重失信行为记录名单（代理机构现场查询，截图留存并归档）；</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 供应商在响应文件递交截止时间当日，建筑业企业资质（仅指本项目的资质）动态监管结果不处于不合格状态</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代理机构登录“江苏省建筑市场监管与诚信信息一体化平台-企业信息-施工企业-动态监管不合格资质查询”，对动态监管处于不合格状态的供应商进行截图保存）；</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中小企业声明函</w:t>
      </w:r>
      <w:r>
        <w:rPr>
          <w:rFonts w:hint="eastAsia" w:ascii="宋体" w:hAnsi="宋体" w:cs="宋体"/>
          <w:color w:val="000000"/>
          <w:sz w:val="24"/>
          <w:highlight w:val="none"/>
        </w:rPr>
        <w:t xml:space="preserve">（详见附件11）；</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残疾人福利性单位声明函</w:t>
      </w:r>
      <w:r>
        <w:rPr>
          <w:rFonts w:hint="eastAsia" w:ascii="宋体" w:hAnsi="宋体" w:cs="宋体"/>
          <w:color w:val="000000"/>
          <w:sz w:val="24"/>
          <w:highlight w:val="none"/>
        </w:rPr>
        <w:t xml:space="preserve">（如符合残疾人福利性单位的须提供，详见附件12）；</w:t>
      </w:r>
      <w:r/>
    </w:p>
    <w:p>
      <w:pPr>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监狱和戒毒企业证明材料</w:t>
      </w:r>
      <w:r>
        <w:rPr>
          <w:rFonts w:hint="eastAsia" w:ascii="宋体" w:hAnsi="宋体" w:cs="宋体"/>
          <w:color w:val="000000"/>
          <w:sz w:val="24"/>
          <w:highlight w:val="none"/>
        </w:rPr>
        <w:t xml:space="preserve">（如符合监狱企业的须提供，详见附件13）；</w:t>
      </w:r>
      <w:r/>
    </w:p>
    <w:p>
      <w:pPr>
        <w:ind w:firstLine="480"/>
        <w:spacing w:line="460" w:lineRule="exact"/>
        <w:rPr>
          <w:rFonts w:hint="eastAsia" w:ascii="宋体" w:hAnsi="宋体" w:cs="宋体"/>
          <w:bCs/>
          <w:color w:val="000000"/>
          <w:sz w:val="24"/>
          <w:highlight w:val="none"/>
        </w:rPr>
      </w:pPr>
      <w:r>
        <w:rPr>
          <w:rFonts w:hint="eastAsia" w:ascii="宋体" w:hAnsi="宋体" w:cs="宋体"/>
          <w:color w:val="000000"/>
          <w:sz w:val="24"/>
          <w:highlight w:val="none"/>
          <w:lang w:val="en-US" w:eastAsia="zh-CN"/>
        </w:rPr>
        <w:t xml:space="preserve">18. </w:t>
      </w:r>
      <w:r>
        <w:rPr>
          <w:rFonts w:hint="eastAsia" w:ascii="宋体" w:hAnsi="宋体" w:cs="宋体"/>
          <w:color w:val="000000"/>
          <w:sz w:val="24"/>
          <w:highlight w:val="none"/>
          <w:lang w:val="zh-CN"/>
        </w:rPr>
        <w:t xml:space="preserve">供应商认为需要提交的其他</w:t>
      </w:r>
      <w:r>
        <w:rPr>
          <w:rFonts w:hint="eastAsia" w:ascii="宋体" w:hAnsi="宋体" w:cs="宋体"/>
          <w:color w:val="000000"/>
          <w:sz w:val="24"/>
          <w:highlight w:val="none"/>
        </w:rPr>
        <w:t xml:space="preserve">资格审查证明</w:t>
      </w:r>
      <w:r>
        <w:rPr>
          <w:rFonts w:hint="eastAsia" w:ascii="宋体" w:hAnsi="宋体" w:cs="宋体"/>
          <w:color w:val="000000"/>
          <w:sz w:val="24"/>
          <w:highlight w:val="none"/>
          <w:lang w:val="zh-CN"/>
        </w:rPr>
        <w:t xml:space="preserve">材料</w:t>
      </w:r>
      <w:r>
        <w:rPr>
          <w:rFonts w:hint="eastAsia" w:ascii="宋体" w:hAnsi="宋体" w:cs="宋体"/>
          <w:bCs/>
          <w:color w:val="000000"/>
          <w:sz w:val="24"/>
          <w:highlight w:val="none"/>
          <w:lang w:val="zh-CN"/>
        </w:rPr>
        <w:t xml:space="preserve">。</w:t>
      </w:r>
      <w:r/>
    </w:p>
    <w:p>
      <w:pPr>
        <w:ind w:firstLine="482"/>
        <w:spacing w:line="46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lang w:val="zh-CN"/>
        </w:rPr>
        <w:t xml:space="preserve">、商务技术文件</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供应商情况一览表（格式见附件</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商务部分正负偏离表（格式见附件</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技术部分正负偏离表（格式见附件</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w:t>
      </w:r>
      <w:r/>
    </w:p>
    <w:p>
      <w:pPr>
        <w:ind w:firstLine="480"/>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商务技术评分标准中须提供的相关得分佐证材料；</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供应商认为需要提交的其他商务技术材料。</w:t>
      </w:r>
      <w:r/>
    </w:p>
    <w:p>
      <w:pPr>
        <w:ind w:firstLine="482"/>
        <w:spacing w:line="46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三、</w:t>
      </w:r>
      <w:r>
        <w:rPr>
          <w:rFonts w:hint="eastAsia" w:ascii="宋体" w:hAnsi="宋体" w:cs="宋体"/>
          <w:b/>
          <w:bCs/>
          <w:color w:val="000000"/>
          <w:sz w:val="24"/>
          <w:highlight w:val="none"/>
          <w:lang w:val="zh-CN"/>
        </w:rPr>
        <w:t xml:space="preserve">价格响应文件</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磋商报价表</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已标价工程量清单（应使用造价软件编制并打印）（详见附件10）</w:t>
      </w:r>
      <w:r>
        <w:rPr>
          <w:rFonts w:hint="eastAsia" w:ascii="宋体" w:hAnsi="宋体" w:cs="宋体"/>
          <w:color w:val="000000"/>
          <w:sz w:val="24"/>
          <w:highlight w:val="none"/>
          <w:lang w:val="zh-CN"/>
        </w:rPr>
        <w:t xml:space="preserve">。</w:t>
      </w:r>
      <w:r/>
    </w:p>
    <w:p>
      <w:pPr>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spacing w:line="400" w:lineRule="exact"/>
        <w:rPr>
          <w:rFonts w:hint="eastAsia" w:ascii="宋体" w:hAnsi="宋体" w:cs="宋体"/>
          <w:color w:val="000000"/>
          <w:sz w:val="32"/>
          <w:szCs w:val="32"/>
          <w:highlight w:val="none"/>
          <w:lang w:val="zh-CN"/>
        </w:rPr>
      </w:pPr>
      <w:r>
        <w:rPr>
          <w:rFonts w:hint="eastAsia" w:ascii="宋体" w:hAnsi="宋体" w:cs="宋体"/>
          <w:color w:val="000000"/>
          <w:sz w:val="32"/>
          <w:szCs w:val="32"/>
          <w:highlight w:val="none"/>
          <w:lang w:val="zh-CN"/>
        </w:rPr>
        <w:br w:type="page" w:clear="all"/>
      </w:r>
      <w:r>
        <w:rPr>
          <w:rFonts w:hint="eastAsia" w:ascii="宋体" w:hAnsi="宋体" w:cs="宋体"/>
          <w:color w:val="000000"/>
          <w:sz w:val="32"/>
          <w:szCs w:val="32"/>
          <w:highlight w:val="none"/>
          <w:lang w:val="zh-CN"/>
        </w:rPr>
        <w:t xml:space="preserve">附件1</w:t>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投标人符合《政府采购法》第二十二条规定条件的声明函</w:t>
      </w:r>
      <w:r/>
    </w:p>
    <w:p>
      <w:pPr>
        <w:spacing w:line="460" w:lineRule="exact"/>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ind w:firstLine="480"/>
        <w:spacing w:line="460" w:lineRule="exact"/>
        <w:rPr>
          <w:rFonts w:hint="eastAsia" w:ascii="宋体" w:hAnsi="宋体" w:cs="宋体"/>
          <w:b/>
          <w:bCs/>
          <w:color w:val="000000"/>
          <w:sz w:val="24"/>
          <w:highlight w:val="none"/>
        </w:rPr>
      </w:pPr>
      <w:r>
        <w:rPr>
          <w:rFonts w:hint="eastAsia" w:ascii="宋体" w:hAnsi="宋体" w:cs="宋体"/>
          <w:bCs/>
          <w:color w:val="000000"/>
          <w:sz w:val="24"/>
          <w:highlight w:val="none"/>
        </w:rPr>
        <w:t xml:space="preserve">我单位参加</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南通市妇幼保健院口腔科扩建工程</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JSZC-320600-NTWL-C2025-0026</w:t>
      </w:r>
      <w:r>
        <w:rPr>
          <w:rFonts w:hint="eastAsia" w:ascii="宋体" w:hAnsi="宋体" w:cs="宋体"/>
          <w:bCs/>
          <w:color w:val="000000"/>
          <w:sz w:val="24"/>
          <w:highlight w:val="none"/>
          <w:u w:val="single"/>
        </w:rPr>
        <w:t xml:space="preserve">（</w:t>
      </w:r>
      <w:r>
        <w:rPr>
          <w:rFonts w:hint="eastAsia" w:ascii="宋体" w:hAnsi="宋体" w:cs="宋体"/>
          <w:bCs/>
          <w:color w:val="000000"/>
          <w:sz w:val="24"/>
          <w:highlight w:val="none"/>
        </w:rPr>
        <w:t xml:space="preserve">项目编号）投标活动。针对《中华人民共和国政府采购法》第二十二条规定做出如下声明：</w:t>
      </w:r>
      <w:r/>
    </w:p>
    <w:p>
      <w:pPr>
        <w:ind w:firstLine="482"/>
        <w:spacing w:line="4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1.我单位具有独立承担民事责任的能力；</w:t>
      </w:r>
      <w:r/>
    </w:p>
    <w:p>
      <w:pPr>
        <w:ind w:firstLine="48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2.我单位具有良好的商业信誉和健全的财务会计制度；</w:t>
      </w:r>
      <w:r/>
    </w:p>
    <w:p>
      <w:pPr>
        <w:ind w:firstLine="48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3.我单位具有履行合同所必需的设备和专业技术能力；</w:t>
      </w:r>
      <w:r/>
    </w:p>
    <w:p>
      <w:pPr>
        <w:ind w:firstLine="48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4.我单位有依法缴纳税收和社会保障资金的良好记录；</w:t>
      </w:r>
      <w:r/>
    </w:p>
    <w:p>
      <w:pPr>
        <w:ind w:firstLine="48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我单位参加政府采购活动前三年内，在经营活动中没有重大违法记录；（1.供应商在参加本次政府采购活动前三年内因违法经营被禁止在一定期限内参加政府采购活动，期限届满的，可以参加本次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6.我单位满足法律、行政法规规定的其他条件。</w:t>
      </w:r>
      <w:r/>
    </w:p>
    <w:p>
      <w:pPr>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jc w:val="center"/>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承诺人名称（公章）：</w:t>
      </w:r>
      <w:r>
        <w:rPr>
          <w:rFonts w:hint="eastAsia" w:ascii="宋体" w:hAnsi="宋体" w:cs="宋体"/>
          <w:bCs/>
          <w:color w:val="000000"/>
          <w:sz w:val="24"/>
          <w:highlight w:val="none"/>
          <w:u w:val="single"/>
        </w:rPr>
        <w:t xml:space="preserve">__________________</w:t>
      </w:r>
      <w:r/>
    </w:p>
    <w:p>
      <w:pPr>
        <w:jc w:val="right"/>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jc w:val="right"/>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______</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____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_____</w:t>
      </w:r>
      <w:r>
        <w:rPr>
          <w:rFonts w:hint="eastAsia" w:ascii="宋体" w:hAnsi="宋体" w:cs="宋体"/>
          <w:bCs/>
          <w:color w:val="000000"/>
          <w:sz w:val="24"/>
          <w:highlight w:val="none"/>
        </w:rPr>
        <w:t xml:space="preserve">日</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spacing w:line="400" w:lineRule="exact"/>
        <w:rPr>
          <w:rFonts w:hint="eastAsia" w:ascii="宋体" w:hAnsi="宋体" w:cs="宋体"/>
          <w:color w:val="000000"/>
          <w:sz w:val="32"/>
          <w:szCs w:val="32"/>
          <w:highlight w:val="none"/>
          <w:lang w:val="zh-CN"/>
        </w:rPr>
      </w:pPr>
      <w:r>
        <w:rPr>
          <w:rFonts w:hint="eastAsia" w:ascii="宋体" w:hAnsi="宋体" w:cs="宋体"/>
          <w:color w:val="000000"/>
          <w:sz w:val="32"/>
          <w:szCs w:val="32"/>
          <w:highlight w:val="none"/>
          <w:lang w:val="zh-CN"/>
        </w:rPr>
        <w:br w:type="page" w:clear="all"/>
      </w:r>
      <w:r>
        <w:rPr>
          <w:rFonts w:hint="eastAsia" w:ascii="宋体" w:hAnsi="宋体" w:cs="宋体"/>
          <w:color w:val="000000"/>
          <w:sz w:val="32"/>
          <w:szCs w:val="32"/>
          <w:highlight w:val="none"/>
          <w:lang w:val="zh-CN"/>
        </w:rPr>
        <w:t xml:space="preserve">附件2</w:t>
      </w:r>
      <w:r/>
    </w:p>
    <w:p>
      <w:pPr>
        <w:jc w:val="center"/>
        <w:spacing w:line="56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法定代表人身份证明</w:t>
      </w:r>
      <w:r/>
    </w:p>
    <w:p>
      <w:pP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p>
    <w:p>
      <w:pPr>
        <w:ind w:firstLine="480"/>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bCs/>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contextualSpacing/>
        <w:ind w:firstLine="54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tbl>
      <w:tblPr>
        <w:tblStyle w:val="702"/>
        <w:tblpPr w:horzAnchor="text" w:tblpX="449" w:vertAnchor="text" w:tblpY="5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0"/>
      </w:tblGrid>
      <w:tr>
        <w:trPr>
          <w:trHeight w:val="3496"/>
        </w:trPr>
        <w:tc>
          <w:tcPr>
            <w:tcW w:w="8040" w:type="dxa"/>
            <w:textDirection w:val="lrTb"/>
            <w:noWrap w:val="false"/>
          </w:tcPr>
          <w:p>
            <w:pPr>
              <w:contextualSpacing/>
              <w:ind w:firstLine="54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contextualSpacing/>
              <w:ind w:firstLine="54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contextualSpacing/>
              <w:ind w:firstLine="54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提供法定代表人身份证正、反面扫描件</w:t>
            </w:r>
            <w:r/>
          </w:p>
          <w:p>
            <w:pPr>
              <w:contextualSpacing/>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r>
    </w:tbl>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contextualSpacing/>
        <w:spacing w:line="400" w:lineRule="exact"/>
        <w:rPr>
          <w:rFonts w:hint="eastAsia" w:ascii="宋体" w:hAnsi="宋体" w:cs="宋体"/>
          <w:color w:val="000000"/>
          <w:sz w:val="32"/>
          <w:szCs w:val="32"/>
          <w:highlight w:val="none"/>
          <w:lang w:val="zh-CN"/>
        </w:rPr>
      </w:pPr>
      <w:r>
        <w:rPr>
          <w:rFonts w:hint="eastAsia" w:ascii="宋体" w:hAnsi="宋体" w:cs="宋体"/>
          <w:color w:val="000000"/>
          <w:sz w:val="32"/>
          <w:szCs w:val="32"/>
          <w:highlight w:val="none"/>
          <w:lang w:val="zh-CN"/>
        </w:rPr>
        <w:t xml:space="preserve">附件3</w:t>
      </w:r>
      <w:r/>
    </w:p>
    <w:p>
      <w:pPr>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授权委托书</w:t>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（授权单位名称）的法定代表人，现委托</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（姓名）</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）为我方代理人，以我方名义全权处理与本次采购项目（编号：</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JSZC-320600-NTWL-C2025-0026</w:t>
      </w:r>
      <w:r>
        <w:rPr>
          <w:rFonts w:hint="eastAsia" w:ascii="宋体" w:hAnsi="宋体" w:cs="宋体"/>
          <w:bCs/>
          <w:color w:val="000000"/>
          <w:sz w:val="24"/>
          <w:highlight w:val="none"/>
          <w:u w:val="single"/>
          <w:lang w:val="en-US" w:eastAsia="zh-CN"/>
        </w:rPr>
        <w:t xml:space="preserve"> </w:t>
      </w:r>
      <w:r>
        <w:rPr>
          <w:rFonts w:hint="eastAsia" w:ascii="宋体" w:hAnsi="宋体" w:cs="宋体"/>
          <w:color w:val="000000"/>
          <w:sz w:val="24"/>
          <w:highlight w:val="none"/>
        </w:rPr>
        <w:t xml:space="preserve">）有关的一切事务，其法律后果由我方承担。</w:t>
      </w:r>
      <w:r/>
    </w:p>
    <w:p>
      <w:pPr>
        <w:ind w:firstLine="560"/>
        <w:rPr>
          <w:rFonts w:hint="eastAsia" w:ascii="宋体" w:hAnsi="宋体" w:cs="宋体"/>
          <w:color w:val="000000"/>
          <w:sz w:val="24"/>
          <w:highlight w:val="none"/>
        </w:rPr>
      </w:pPr>
      <w:r>
        <w:rPr>
          <w:rFonts w:hint="eastAsia" w:ascii="宋体" w:hAnsi="宋体" w:cs="宋体"/>
          <w:color w:val="000000"/>
          <w:sz w:val="24"/>
          <w:highlight w:val="none"/>
        </w:rPr>
        <w:t xml:space="preserve">本授权书于</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日起生效。代理人无转委托权。</w:t>
      </w:r>
      <w:r/>
    </w:p>
    <w:p>
      <w:pPr>
        <w:ind w:firstLine="420"/>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spacing w:line="360" w:lineRule="auto"/>
        <w:rPr>
          <w:rFonts w:hint="eastAsia" w:ascii="宋体" w:hAnsi="宋体" w:cs="宋体"/>
          <w:bCs/>
          <w:color w:val="000000"/>
          <w:sz w:val="24"/>
          <w:highlight w:val="none"/>
          <w:u w:val="single"/>
        </w:rPr>
      </w:pPr>
      <w:r>
        <w:rPr>
          <w:rFonts w:hint="eastAsia" w:ascii="宋体" w:hAnsi="宋体" w:cs="宋体"/>
          <w:color w:val="000000"/>
          <w:sz w:val="24"/>
          <w:highlight w:val="none"/>
        </w:rPr>
        <w:t xml:space="preserve">代理人(被授权人签字):</w:t>
      </w:r>
      <w:r>
        <w:rPr>
          <w:rFonts w:hint="eastAsia" w:ascii="宋体" w:hAnsi="宋体" w:cs="宋体"/>
          <w:bCs/>
          <w:color w:val="000000"/>
          <w:sz w:val="24"/>
          <w:highlight w:val="none"/>
          <w:u w:val="single"/>
        </w:rPr>
        <w:t xml:space="preserve">                            </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bCs/>
          <w:color w:val="000000"/>
          <w:sz w:val="24"/>
          <w:highlight w:val="none"/>
          <w:u w:val="single"/>
        </w:rPr>
        <w:t xml:space="preserve">                         </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bCs/>
          <w:color w:val="000000"/>
          <w:sz w:val="24"/>
          <w:highlight w:val="none"/>
          <w:u w:val="single"/>
        </w:rPr>
        <w:t xml:space="preserve">             </w:t>
      </w:r>
      <w:r/>
    </w:p>
    <w:p>
      <w:pPr>
        <w:jc w:val="right"/>
        <w:rPr>
          <w:rFonts w:hint="eastAsia" w:ascii="宋体" w:hAnsi="宋体" w:cs="宋体"/>
          <w:color w:val="000000"/>
          <w:sz w:val="24"/>
          <w:highlight w:val="none"/>
        </w:rPr>
      </w:pPr>
      <w:r>
        <w:rPr>
          <w:rFonts w:hint="eastAsia" w:ascii="宋体" w:hAnsi="宋体" w:cs="宋体"/>
          <w:color w:val="000000"/>
          <w:sz w:val="24"/>
          <w:highlight w:val="none"/>
        </w:rPr>
      </w:r>
      <w:r/>
    </w:p>
    <w:p>
      <w:pPr>
        <w:jc w:val="right"/>
        <w:rPr>
          <w:rFonts w:hint="eastAsia" w:ascii="宋体" w:hAnsi="宋体" w:cs="宋体"/>
          <w:color w:val="000000"/>
          <w:sz w:val="24"/>
          <w:highlight w:val="none"/>
        </w:rPr>
      </w:pPr>
      <w:r>
        <w:rPr>
          <w:rFonts w:hint="eastAsia" w:ascii="宋体" w:hAnsi="宋体" w:cs="宋体"/>
          <w:bCs/>
          <w:color w:val="000000"/>
          <w:sz w:val="24"/>
          <w:highlight w:val="none"/>
          <w:u w:val="single"/>
        </w:rPr>
        <w:t xml:space="preserve">_____ </w:t>
      </w:r>
      <w:r>
        <w:rPr>
          <w:rFonts w:hint="eastAsia" w:ascii="宋体" w:hAnsi="宋体" w:cs="宋体"/>
          <w:color w:val="000000"/>
          <w:sz w:val="24"/>
          <w:highlight w:val="none"/>
        </w:rPr>
        <w:t xml:space="preserve">年</w:t>
      </w:r>
      <w:r>
        <w:rPr>
          <w:rFonts w:hint="eastAsia" w:ascii="宋体" w:hAnsi="宋体" w:cs="宋体"/>
          <w:bCs/>
          <w:color w:val="000000"/>
          <w:sz w:val="24"/>
          <w:highlight w:val="none"/>
          <w:u w:val="single"/>
        </w:rPr>
        <w:t xml:space="preserve">_____ </w:t>
      </w:r>
      <w:r>
        <w:rPr>
          <w:rFonts w:hint="eastAsia" w:ascii="宋体" w:hAnsi="宋体" w:cs="宋体"/>
          <w:color w:val="000000"/>
          <w:sz w:val="24"/>
          <w:highlight w:val="none"/>
        </w:rPr>
        <w:t xml:space="preserve">月</w:t>
      </w:r>
      <w:r>
        <w:rPr>
          <w:rFonts w:hint="eastAsia" w:ascii="宋体" w:hAnsi="宋体" w:cs="宋体"/>
          <w:bCs/>
          <w:color w:val="000000"/>
          <w:sz w:val="24"/>
          <w:highlight w:val="none"/>
          <w:u w:val="single"/>
        </w:rPr>
        <w:t xml:space="preserve">_____ </w:t>
      </w:r>
      <w:r>
        <w:rPr>
          <w:rFonts w:hint="eastAsia" w:ascii="宋体" w:hAnsi="宋体" w:cs="宋体"/>
          <w:color w:val="000000"/>
          <w:sz w:val="24"/>
          <w:highlight w:val="none"/>
        </w:rPr>
        <w:t xml:space="preserve">日</w:t>
      </w:r>
      <w:r/>
    </w:p>
    <w:p>
      <w:pPr>
        <w:contextualSpacing/>
        <w:ind w:firstLine="54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tbl>
      <w:tblPr>
        <w:tblStyle w:val="702"/>
        <w:tblpPr w:horzAnchor="text" w:tblpX="449" w:vertAnchor="text" w:tblpY="5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0"/>
      </w:tblGrid>
      <w:tr>
        <w:trPr>
          <w:trHeight w:val="3496"/>
        </w:trPr>
        <w:tc>
          <w:tcPr>
            <w:tcW w:w="8040" w:type="dxa"/>
            <w:textDirection w:val="lrTb"/>
            <w:noWrap w:val="false"/>
          </w:tcPr>
          <w:p>
            <w:pPr>
              <w:contextualSpacing/>
              <w:ind w:firstLine="54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contextualSpacing/>
              <w:ind w:firstLine="54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contextualSpacing/>
              <w:ind w:firstLine="54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提供代理人身份证正、反面扫描件</w:t>
            </w:r>
            <w:r/>
          </w:p>
          <w:p>
            <w:pPr>
              <w:contextualSpacing/>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r>
    </w:tbl>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color w:val="000000"/>
          <w:sz w:val="32"/>
          <w:szCs w:val="32"/>
          <w:highlight w:val="none"/>
          <w:lang w:val="zh-CN"/>
        </w:rPr>
      </w:pPr>
      <w:r>
        <w:rPr>
          <w:rFonts w:hint="eastAsia" w:ascii="宋体" w:hAnsi="宋体" w:cs="宋体"/>
          <w:color w:val="000000"/>
          <w:sz w:val="32"/>
          <w:szCs w:val="32"/>
          <w:highlight w:val="none"/>
          <w:lang w:val="zh-CN"/>
        </w:rPr>
        <w:br w:type="page" w:clear="all"/>
      </w:r>
      <w:r/>
    </w:p>
    <w:p>
      <w:pPr>
        <w:contextualSpacing/>
        <w:spacing w:line="4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lang w:val="zh-CN"/>
        </w:rPr>
        <w:t xml:space="preserve">附件</w:t>
      </w:r>
      <w:r>
        <w:rPr>
          <w:rFonts w:hint="eastAsia" w:ascii="宋体" w:hAnsi="宋体" w:cs="宋体"/>
          <w:color w:val="000000"/>
          <w:sz w:val="32"/>
          <w:szCs w:val="32"/>
          <w:highlight w:val="none"/>
        </w:rPr>
        <w:t xml:space="preserve">4</w:t>
      </w:r>
      <w:r/>
    </w:p>
    <w:p>
      <w:pPr>
        <w:ind w:firstLine="640"/>
        <w:jc w:val="center"/>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拟派项目负责人无在建工程承诺书</w:t>
      </w:r>
      <w:r/>
    </w:p>
    <w:p>
      <w:pPr>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u w:val="single"/>
        </w:rPr>
      </w:r>
      <w:r/>
    </w:p>
    <w:p>
      <w:pPr>
        <w:spacing w:line="360" w:lineRule="auto"/>
        <w:rPr>
          <w:rFonts w:hint="eastAsia" w:ascii="宋体" w:hAnsi="宋体" w:cs="宋体"/>
          <w:color w:val="000000"/>
          <w:sz w:val="24"/>
          <w:highlight w:val="none"/>
        </w:rPr>
      </w:pP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我方参加你方的 </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（以下简称“本工程”）的投标，现我方法定代表人向你方郑重承诺：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我方拟派项目负责人</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（身份证号码：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）无在建工程，如果我方经本工程评标委员会评定为成交候选人，在公示期间被他人举报并经招标投标监管机构核实，确认拟派项目负责人有在建工程，且不符合江苏省建设厅“苏建规字（2017）1号”《 省住房和城乡建设厅关于改革和完善房屋建筑和市政基础设施工程招标投标制度的实施意见》附件二《江苏省房屋建筑和市政基础设施工程施工招标资格审查办法》第十条第五款的规定，你方即可取消我方成交候选人资格，并同意投标保证金不予退还。</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84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投标人（盖章）：</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  </w:t>
      </w:r>
      <w:r/>
    </w:p>
    <w:p>
      <w:pPr>
        <w:ind w:firstLine="3840"/>
        <w:spacing w:line="480" w:lineRule="auto"/>
        <w:tabs>
          <w:tab w:val="left" w:pos="43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法人或授权委托人（签字或盖章）：</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  </w:t>
      </w:r>
      <w:r/>
    </w:p>
    <w:p>
      <w:pPr>
        <w:ind w:firstLine="384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日</w:t>
      </w:r>
      <w:r/>
    </w:p>
    <w:p>
      <w:pPr>
        <w:jc w:val="center"/>
        <w:spacing w:before="240" w:line="312" w:lineRule="auto"/>
        <w:rPr>
          <w:b/>
          <w:color w:val="000000"/>
          <w:sz w:val="32"/>
          <w:szCs w:val="32"/>
          <w:highlight w:val="none"/>
        </w:rPr>
      </w:pPr>
      <w:r>
        <w:rPr>
          <w:b/>
          <w:color w:val="000000"/>
          <w:sz w:val="32"/>
          <w:szCs w:val="32"/>
          <w:highlight w:val="none"/>
        </w:rPr>
      </w:r>
      <w:r/>
    </w:p>
    <w:p>
      <w:pPr>
        <w:jc w:val="center"/>
        <w:spacing w:before="240" w:line="312" w:lineRule="auto"/>
        <w:rPr>
          <w:b/>
          <w:color w:val="000000"/>
          <w:sz w:val="32"/>
          <w:szCs w:val="32"/>
          <w:highlight w:val="none"/>
        </w:rPr>
      </w:pPr>
      <w:r>
        <w:rPr>
          <w:b/>
          <w:color w:val="000000"/>
          <w:sz w:val="32"/>
          <w:szCs w:val="32"/>
          <w:highlight w:val="none"/>
        </w:rPr>
      </w:r>
      <w:r/>
    </w:p>
    <w:p>
      <w:pPr>
        <w:jc w:val="center"/>
        <w:spacing w:before="240" w:line="312" w:lineRule="auto"/>
        <w:rPr>
          <w:b/>
          <w:color w:val="000000"/>
          <w:sz w:val="32"/>
          <w:szCs w:val="32"/>
          <w:highlight w:val="none"/>
        </w:rPr>
      </w:pPr>
      <w:r>
        <w:rPr>
          <w:b/>
          <w:color w:val="000000"/>
          <w:sz w:val="32"/>
          <w:szCs w:val="32"/>
          <w:highlight w:val="none"/>
        </w:rPr>
      </w:r>
      <w:r/>
    </w:p>
    <w:p>
      <w:pPr>
        <w:spacing w:before="240" w:line="312" w:lineRule="auto"/>
        <w:rPr>
          <w:b/>
          <w:color w:val="000000"/>
          <w:sz w:val="32"/>
          <w:szCs w:val="32"/>
          <w:highlight w:val="none"/>
        </w:rPr>
      </w:pPr>
      <w:r>
        <w:rPr>
          <w:b/>
          <w:color w:val="000000"/>
          <w:sz w:val="32"/>
          <w:szCs w:val="32"/>
          <w:highlight w:val="none"/>
        </w:rPr>
        <w:br w:type="page" w:clear="all"/>
      </w:r>
      <w:r>
        <w:rPr>
          <w:rFonts w:hint="eastAsia" w:ascii="宋体" w:hAnsi="宋体" w:cs="宋体"/>
          <w:color w:val="000000"/>
          <w:sz w:val="32"/>
          <w:szCs w:val="32"/>
          <w:highlight w:val="none"/>
        </w:rPr>
        <w:t xml:space="preserve">附件5</w:t>
      </w:r>
      <w:r/>
    </w:p>
    <w:p>
      <w:pPr>
        <w:jc w:val="center"/>
        <w:spacing w:before="240" w:line="312" w:lineRule="auto"/>
        <w:rPr>
          <w:b/>
          <w:color w:val="000000"/>
          <w:sz w:val="32"/>
          <w:szCs w:val="32"/>
          <w:highlight w:val="none"/>
        </w:rPr>
      </w:pPr>
      <w:r>
        <w:rPr>
          <w:b/>
          <w:color w:val="000000"/>
          <w:sz w:val="32"/>
          <w:szCs w:val="32"/>
          <w:highlight w:val="none"/>
        </w:rPr>
        <w:t xml:space="preserve">供应商信用承诺书</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为营造公开、公平、公正的公共资源交易环境，树立诚信守法的投标人形象，本人代表本单位作出以下承诺：</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二、严格依照国家和省、市、县关于政府采购等方面的法律、法规、规章、规范性文件，参加公共资源交易招标投标活动；积极履行社会责任，促进廉政建设；</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三、严格遵守即时信息公示规定，及时更新公共资源交易中心主体信息库中信息；</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六、自觉接受政府部门、行业组织、社会公众、新闻舆论等监督；</w:t>
      </w:r>
      <w:r/>
    </w:p>
    <w:p>
      <w:pPr>
        <w:ind w:firstLine="480"/>
        <w:spacing w:line="4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七、上述承诺已向本单位员工作了宣传教育。</w:t>
      </w:r>
      <w:r/>
    </w:p>
    <w:p>
      <w:pPr>
        <w:ind w:firstLine="482"/>
        <w:spacing w:line="460" w:lineRule="exact"/>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如有违反上述承诺的不良行为，本单位同意将其予以上网公示。</w:t>
      </w:r>
      <w:r/>
    </w:p>
    <w:p>
      <w:pPr>
        <w:spacing w:line="460" w:lineRule="exact"/>
        <w:rPr>
          <w:color w:val="000000"/>
          <w:sz w:val="24"/>
          <w:highlight w:val="none"/>
          <w:lang w:val="zh-CN"/>
        </w:rPr>
      </w:pPr>
      <w:r>
        <w:rPr>
          <w:color w:val="000000"/>
          <w:sz w:val="24"/>
          <w:highlight w:val="none"/>
          <w:lang w:val="zh-CN"/>
        </w:rPr>
      </w:r>
      <w:r/>
    </w:p>
    <w:p>
      <w:pPr>
        <w:ind w:firstLine="4560"/>
        <w:spacing w:line="460" w:lineRule="exact"/>
        <w:rPr>
          <w:color w:val="000000"/>
          <w:sz w:val="24"/>
          <w:highlight w:val="none"/>
          <w:lang w:val="zh-CN"/>
        </w:rPr>
      </w:pPr>
      <w:r>
        <w:rPr>
          <w:color w:val="000000"/>
          <w:sz w:val="24"/>
          <w:highlight w:val="none"/>
          <w:lang w:val="zh-CN"/>
        </w:rPr>
      </w:r>
      <w:r/>
    </w:p>
    <w:p>
      <w:pPr>
        <w:ind w:firstLine="2640"/>
        <w:spacing w:line="460" w:lineRule="exact"/>
        <w:rPr>
          <w:color w:val="000000"/>
          <w:sz w:val="24"/>
          <w:highlight w:val="none"/>
          <w:u w:val="single"/>
        </w:rPr>
      </w:pPr>
      <w:r>
        <w:rPr>
          <w:color w:val="000000"/>
          <w:sz w:val="24"/>
          <w:highlight w:val="none"/>
          <w:lang w:val="zh-CN"/>
        </w:rPr>
        <w:t xml:space="preserve">投标供应商全称(盖公章)：</w:t>
      </w:r>
      <w:r>
        <w:rPr>
          <w:rFonts w:hint="eastAsia" w:ascii="宋体" w:hAnsi="宋体" w:cs="宋体"/>
          <w:bCs/>
          <w:color w:val="000000"/>
          <w:sz w:val="24"/>
          <w:highlight w:val="none"/>
          <w:u w:val="single"/>
        </w:rPr>
        <w:t xml:space="preserve">                          </w:t>
      </w:r>
      <w:r/>
    </w:p>
    <w:p>
      <w:pPr>
        <w:ind w:firstLine="2640"/>
        <w:spacing w:line="460" w:lineRule="exact"/>
        <w:rPr>
          <w:color w:val="000000"/>
          <w:sz w:val="24"/>
          <w:highlight w:val="none"/>
          <w:u w:val="single"/>
        </w:rPr>
      </w:pPr>
      <w:r>
        <w:rPr>
          <w:color w:val="000000"/>
          <w:sz w:val="24"/>
          <w:highlight w:val="none"/>
          <w:lang w:val="zh-CN"/>
        </w:rPr>
        <w:t xml:space="preserve">法定代表人（签字或盖章）：</w:t>
      </w:r>
      <w:r>
        <w:rPr>
          <w:rFonts w:hint="eastAsia" w:ascii="宋体" w:hAnsi="宋体" w:cs="宋体"/>
          <w:bCs/>
          <w:color w:val="000000"/>
          <w:sz w:val="24"/>
          <w:highlight w:val="none"/>
          <w:u w:val="single"/>
        </w:rPr>
        <w:t xml:space="preserve">                      </w:t>
      </w:r>
      <w:r/>
    </w:p>
    <w:p>
      <w:pPr>
        <w:ind w:firstLine="2640"/>
        <w:spacing w:line="460" w:lineRule="exact"/>
        <w:rPr>
          <w:color w:val="000000"/>
          <w:sz w:val="24"/>
          <w:highlight w:val="none"/>
          <w:lang w:val="zh-CN"/>
        </w:rPr>
      </w:pPr>
      <w:r>
        <w:rPr>
          <w:color w:val="000000"/>
          <w:sz w:val="24"/>
          <w:highlight w:val="none"/>
          <w:lang w:val="zh-CN"/>
        </w:rPr>
        <w:t xml:space="preserve">时间：</w:t>
      </w:r>
      <w:r>
        <w:rPr>
          <w:rFonts w:hint="eastAsia" w:ascii="宋体" w:hAnsi="宋体" w:cs="宋体"/>
          <w:bCs/>
          <w:color w:val="000000"/>
          <w:sz w:val="24"/>
          <w:highlight w:val="none"/>
          <w:u w:val="single"/>
        </w:rPr>
        <w:t xml:space="preserve">           </w:t>
      </w:r>
      <w:r>
        <w:rPr>
          <w:color w:val="000000"/>
          <w:sz w:val="24"/>
          <w:highlight w:val="none"/>
          <w:lang w:val="zh-CN"/>
        </w:rPr>
        <w:t xml:space="preserve">年</w:t>
      </w:r>
      <w:r>
        <w:rPr>
          <w:rFonts w:hint="eastAsia" w:ascii="宋体" w:hAnsi="宋体" w:cs="宋体"/>
          <w:bCs/>
          <w:color w:val="000000"/>
          <w:sz w:val="24"/>
          <w:highlight w:val="none"/>
          <w:u w:val="single"/>
        </w:rPr>
        <w:t xml:space="preserve">           </w:t>
      </w:r>
      <w:r>
        <w:rPr>
          <w:color w:val="000000"/>
          <w:sz w:val="24"/>
          <w:highlight w:val="none"/>
          <w:lang w:val="zh-CN"/>
        </w:rPr>
        <w:t xml:space="preserve">月</w:t>
      </w:r>
      <w:r>
        <w:rPr>
          <w:rFonts w:hint="eastAsia" w:ascii="宋体" w:hAnsi="宋体" w:cs="宋体"/>
          <w:bCs/>
          <w:color w:val="000000"/>
          <w:sz w:val="24"/>
          <w:highlight w:val="none"/>
          <w:u w:val="single"/>
        </w:rPr>
        <w:t xml:space="preserve">            </w:t>
      </w:r>
      <w:r>
        <w:rPr>
          <w:color w:val="000000"/>
          <w:sz w:val="24"/>
          <w:highlight w:val="none"/>
          <w:lang w:val="zh-CN"/>
        </w:rPr>
        <w:t xml:space="preserve">日</w:t>
      </w:r>
      <w:r/>
    </w:p>
    <w:p>
      <w:pPr>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r/>
    </w:p>
    <w:p>
      <w:pPr>
        <w:contextualSpacing/>
        <w:spacing w:line="400" w:lineRule="exact"/>
        <w:rPr>
          <w:rFonts w:hint="eastAsia" w:ascii="宋体" w:hAnsi="宋体" w:cs="宋体"/>
          <w:b/>
          <w:bCs/>
          <w:color w:val="000000"/>
          <w:sz w:val="32"/>
          <w:szCs w:val="32"/>
          <w:highlight w:val="none"/>
        </w:rPr>
      </w:pPr>
      <w:r>
        <w:rPr>
          <w:rFonts w:hint="eastAsia" w:ascii="宋体" w:hAnsi="宋体" w:cs="宋体"/>
          <w:color w:val="000000"/>
          <w:sz w:val="32"/>
          <w:szCs w:val="32"/>
          <w:highlight w:val="none"/>
        </w:rPr>
        <w:t xml:space="preserve">附件6</w:t>
      </w:r>
      <w:r/>
    </w:p>
    <w:p>
      <w:pPr>
        <w:contextualSpacing/>
        <w:jc w:val="center"/>
        <w:spacing w:line="300" w:lineRule="auto"/>
        <w:tabs>
          <w:tab w:val="left" w:pos="1260" w:leader="none"/>
        </w:tabs>
        <w:rPr>
          <w:b/>
          <w:color w:val="000000"/>
          <w:sz w:val="32"/>
          <w:szCs w:val="32"/>
          <w:highlight w:val="none"/>
        </w:rPr>
      </w:pPr>
      <w:r>
        <w:rPr>
          <w:b/>
          <w:color w:val="000000"/>
          <w:sz w:val="32"/>
          <w:szCs w:val="32"/>
          <w:highlight w:val="none"/>
        </w:rPr>
        <w:t xml:space="preserve">投标人情况一览表</w:t>
      </w:r>
      <w:r/>
    </w:p>
    <w:tbl>
      <w:tblPr>
        <w:tblStyle w:val="6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tcPr>
          <w:p>
            <w:pPr>
              <w:jc w:val="center"/>
              <w:tabs>
                <w:tab w:val="left" w:pos="4320" w:leader="none"/>
              </w:tabs>
              <w:rPr>
                <w:color w:val="000000"/>
                <w:highlight w:val="none"/>
              </w:rPr>
            </w:pPr>
            <w:r>
              <w:rPr>
                <w:color w:val="000000"/>
                <w:highlight w:val="none"/>
              </w:rPr>
              <w:t xml:space="preserve">单位名称</w:t>
            </w:r>
            <w:r/>
          </w:p>
        </w:tc>
        <w:tc>
          <w:tcPr>
            <w:gridSpan w:val="10"/>
            <w:tcW w:w="7923" w:type="dxa"/>
            <w:vAlign w:val="center"/>
            <w:textDirection w:val="lrTb"/>
            <w:noWrap/>
          </w:tcPr>
          <w:p>
            <w:pPr>
              <w:tabs>
                <w:tab w:val="left" w:pos="4320" w:leader="none"/>
              </w:tabs>
              <w:rPr>
                <w:color w:val="000000"/>
                <w:highlight w:val="none"/>
              </w:rPr>
            </w:pPr>
            <w:r>
              <w:rPr>
                <w:color w:val="000000"/>
                <w:highlight w:val="none"/>
              </w:rPr>
            </w:r>
            <w:r/>
          </w:p>
        </w:tc>
      </w:tr>
      <w:tr>
        <w:trPr>
          <w:trHeight w:val="397"/>
        </w:trPr>
        <w:tc>
          <w:tcPr>
            <w:gridSpan w:val="3"/>
            <w:tcW w:w="2093" w:type="dxa"/>
            <w:vAlign w:val="center"/>
            <w:textDirection w:val="lrTb"/>
            <w:noWrap/>
          </w:tcPr>
          <w:p>
            <w:pPr>
              <w:tabs>
                <w:tab w:val="left" w:pos="4320" w:leader="none"/>
              </w:tabs>
              <w:rPr>
                <w:color w:val="000000"/>
                <w:highlight w:val="none"/>
              </w:rPr>
            </w:pPr>
            <w:r>
              <w:rPr>
                <w:color w:val="000000"/>
                <w:highlight w:val="none"/>
              </w:rPr>
              <w:t xml:space="preserve">单位优势及特长</w:t>
            </w:r>
            <w:r/>
          </w:p>
        </w:tc>
        <w:tc>
          <w:tcPr>
            <w:gridSpan w:val="9"/>
            <w:tcW w:w="7072" w:type="dxa"/>
            <w:vAlign w:val="center"/>
            <w:textDirection w:val="lrTb"/>
            <w:noWrap/>
          </w:tcPr>
          <w:p>
            <w:pPr>
              <w:tabs>
                <w:tab w:val="left" w:pos="4320" w:leader="none"/>
              </w:tabs>
              <w:rPr>
                <w:color w:val="000000"/>
                <w:highlight w:val="none"/>
              </w:rPr>
            </w:pPr>
            <w:r>
              <w:rPr>
                <w:color w:val="000000"/>
                <w:highlight w:val="none"/>
              </w:rPr>
            </w:r>
            <w:r/>
          </w:p>
        </w:tc>
      </w:tr>
      <w:tr>
        <w:trPr>
          <w:cantSplit/>
          <w:trHeight w:val="518"/>
        </w:trPr>
        <w:tc>
          <w:tcPr>
            <w:tcW w:w="817" w:type="dxa"/>
            <w:vAlign w:val="center"/>
            <w:vMerge w:val="restart"/>
            <w:textDirection w:val="lrTb"/>
            <w:noWrap/>
          </w:tcPr>
          <w:p>
            <w:pPr>
              <w:ind w:left="266" w:hanging="233"/>
              <w:tabs>
                <w:tab w:val="left" w:pos="4320" w:leader="none"/>
              </w:tabs>
              <w:rPr>
                <w:color w:val="000000"/>
                <w:highlight w:val="none"/>
              </w:rPr>
            </w:pPr>
            <w:r>
              <w:rPr>
                <w:color w:val="000000"/>
                <w:highlight w:val="none"/>
              </w:rPr>
              <w:t xml:space="preserve">单位</w:t>
            </w:r>
            <w:r/>
          </w:p>
          <w:p>
            <w:pPr>
              <w:ind w:left="266" w:hanging="233"/>
              <w:tabs>
                <w:tab w:val="left" w:pos="4320" w:leader="none"/>
              </w:tabs>
              <w:rPr>
                <w:color w:val="000000"/>
                <w:highlight w:val="none"/>
              </w:rPr>
            </w:pPr>
            <w:r>
              <w:rPr>
                <w:color w:val="000000"/>
                <w:highlight w:val="none"/>
              </w:rPr>
              <w:t xml:space="preserve">概况</w:t>
            </w:r>
            <w:r/>
          </w:p>
        </w:tc>
        <w:tc>
          <w:tcPr>
            <w:gridSpan w:val="2"/>
            <w:tcW w:w="1276" w:type="dxa"/>
            <w:vAlign w:val="center"/>
            <w:textDirection w:val="lrTb"/>
            <w:noWrap/>
          </w:tcPr>
          <w:p>
            <w:pPr>
              <w:jc w:val="center"/>
              <w:tabs>
                <w:tab w:val="left" w:pos="4320" w:leader="none"/>
              </w:tabs>
              <w:rPr>
                <w:color w:val="000000"/>
                <w:highlight w:val="none"/>
              </w:rPr>
            </w:pPr>
            <w:r>
              <w:rPr>
                <w:color w:val="000000"/>
                <w:highlight w:val="none"/>
              </w:rPr>
              <w:t xml:space="preserve">职工总数</w:t>
            </w:r>
            <w:r/>
          </w:p>
        </w:tc>
        <w:tc>
          <w:tcPr>
            <w:gridSpan w:val="2"/>
            <w:tcW w:w="1417" w:type="dxa"/>
            <w:vAlign w:val="center"/>
            <w:textDirection w:val="lrTb"/>
            <w:noWrap/>
          </w:tcPr>
          <w:p>
            <w:pPr>
              <w:jc w:val="right"/>
              <w:tabs>
                <w:tab w:val="left" w:pos="4320" w:leader="none"/>
              </w:tabs>
              <w:rPr>
                <w:color w:val="000000"/>
                <w:highlight w:val="none"/>
              </w:rPr>
            </w:pPr>
            <w:r>
              <w:rPr>
                <w:color w:val="000000"/>
                <w:highlight w:val="none"/>
              </w:rPr>
              <w:t xml:space="preserve">人</w:t>
            </w:r>
            <w:r/>
          </w:p>
        </w:tc>
        <w:tc>
          <w:tcPr>
            <w:tcW w:w="567" w:type="dxa"/>
            <w:vAlign w:val="center"/>
            <w:vMerge w:val="restart"/>
            <w:textDirection w:val="lrTb"/>
            <w:noWrap/>
          </w:tcPr>
          <w:p>
            <w:pPr>
              <w:jc w:val="center"/>
              <w:tabs>
                <w:tab w:val="left" w:pos="4320" w:leader="none"/>
              </w:tabs>
              <w:rPr>
                <w:color w:val="000000"/>
                <w:highlight w:val="none"/>
              </w:rPr>
            </w:pPr>
            <w:r>
              <w:rPr>
                <w:color w:val="000000"/>
                <w:highlight w:val="none"/>
              </w:rPr>
              <w:t xml:space="preserve">上一年主要经济指标</w:t>
            </w:r>
            <w:r/>
          </w:p>
        </w:tc>
        <w:tc>
          <w:tcPr>
            <w:tcW w:w="946" w:type="dxa"/>
            <w:vAlign w:val="center"/>
            <w:textDirection w:val="lrTb"/>
            <w:noWrap/>
          </w:tcPr>
          <w:p>
            <w:pPr>
              <w:jc w:val="center"/>
              <w:tabs>
                <w:tab w:val="left" w:pos="4320" w:leader="none"/>
              </w:tabs>
              <w:rPr>
                <w:color w:val="000000"/>
                <w:highlight w:val="none"/>
              </w:rPr>
            </w:pPr>
            <w:r>
              <w:rPr>
                <w:color w:val="000000"/>
                <w:highlight w:val="none"/>
              </w:rPr>
              <w:t xml:space="preserve">营业额</w:t>
            </w:r>
            <w:r/>
          </w:p>
        </w:tc>
        <w:tc>
          <w:tcPr>
            <w:gridSpan w:val="2"/>
            <w:tcW w:w="1414" w:type="dxa"/>
            <w:vAlign w:val="center"/>
            <w:textDirection w:val="lrTb"/>
            <w:noWrap/>
          </w:tcPr>
          <w:p>
            <w:pPr>
              <w:tabs>
                <w:tab w:val="left" w:pos="4320" w:leader="none"/>
              </w:tabs>
              <w:rPr>
                <w:color w:val="000000"/>
                <w:highlight w:val="none"/>
              </w:rPr>
            </w:pPr>
            <w:r>
              <w:rPr>
                <w:color w:val="000000"/>
                <w:highlight w:val="none"/>
              </w:rPr>
            </w:r>
            <w:r/>
          </w:p>
        </w:tc>
        <w:tc>
          <w:tcPr>
            <w:gridSpan w:val="2"/>
            <w:tcW w:w="1184" w:type="dxa"/>
            <w:vAlign w:val="center"/>
            <w:textDirection w:val="lrTb"/>
            <w:noWrap/>
          </w:tcPr>
          <w:p>
            <w:pPr>
              <w:jc w:val="center"/>
              <w:tabs>
                <w:tab w:val="left" w:pos="4320" w:leader="none"/>
              </w:tabs>
              <w:rPr>
                <w:color w:val="000000"/>
                <w:highlight w:val="none"/>
              </w:rPr>
            </w:pPr>
            <w:r>
              <w:rPr>
                <w:color w:val="000000"/>
                <w:highlight w:val="none"/>
              </w:rPr>
              <w:t xml:space="preserve">实现利润</w:t>
            </w:r>
            <w:r/>
          </w:p>
        </w:tc>
        <w:tc>
          <w:tcPr>
            <w:tcW w:w="1544" w:type="dxa"/>
            <w:vAlign w:val="center"/>
            <w:textDirection w:val="lrTb"/>
            <w:noWrap/>
          </w:tcPr>
          <w:p>
            <w:pPr>
              <w:tabs>
                <w:tab w:val="left" w:pos="4320" w:leader="none"/>
              </w:tabs>
              <w:rPr>
                <w:color w:val="000000"/>
                <w:highlight w:val="none"/>
              </w:rPr>
            </w:pPr>
            <w:r>
              <w:rPr>
                <w:color w:val="000000"/>
                <w:highlight w:val="none"/>
              </w:rPr>
            </w:r>
            <w:r/>
          </w:p>
        </w:tc>
      </w:tr>
      <w:tr>
        <w:trPr>
          <w:cantSplit/>
          <w:trHeight w:val="645"/>
        </w:trPr>
        <w:tc>
          <w:tcPr>
            <w:tcW w:w="817" w:type="dxa"/>
            <w:vAlign w:val="center"/>
            <w:vMerge w:val="continue"/>
            <w:textDirection w:val="lrTb"/>
            <w:noWrap/>
          </w:tcPr>
          <w:p>
            <w:pPr>
              <w:ind w:left="266" w:hanging="233"/>
              <w:tabs>
                <w:tab w:val="left" w:pos="4320" w:leader="none"/>
              </w:tabs>
              <w:rPr>
                <w:color w:val="000000"/>
                <w:highlight w:val="none"/>
              </w:rPr>
            </w:pPr>
            <w:r>
              <w:rPr>
                <w:color w:val="000000"/>
                <w:highlight w:val="none"/>
              </w:rPr>
            </w:r>
            <w:r/>
          </w:p>
        </w:tc>
        <w:tc>
          <w:tcPr>
            <w:gridSpan w:val="2"/>
            <w:tcW w:w="1276" w:type="dxa"/>
            <w:vAlign w:val="center"/>
            <w:textDirection w:val="lrTb"/>
            <w:noWrap/>
          </w:tcPr>
          <w:p>
            <w:pPr>
              <w:jc w:val="center"/>
              <w:tabs>
                <w:tab w:val="left" w:pos="4320" w:leader="none"/>
              </w:tabs>
              <w:rPr>
                <w:color w:val="000000"/>
                <w:highlight w:val="none"/>
              </w:rPr>
            </w:pPr>
            <w:r>
              <w:rPr>
                <w:color w:val="000000"/>
                <w:highlight w:val="none"/>
              </w:rPr>
              <w:t xml:space="preserve">流动资金</w:t>
            </w:r>
            <w:r/>
          </w:p>
        </w:tc>
        <w:tc>
          <w:tcPr>
            <w:gridSpan w:val="2"/>
            <w:tcW w:w="1417" w:type="dxa"/>
            <w:vAlign w:val="center"/>
            <w:textDirection w:val="lrTb"/>
            <w:noWrap/>
          </w:tcPr>
          <w:p>
            <w:pPr>
              <w:jc w:val="right"/>
              <w:tabs>
                <w:tab w:val="left" w:pos="4320" w:leader="none"/>
              </w:tabs>
              <w:rPr>
                <w:color w:val="000000"/>
                <w:highlight w:val="none"/>
              </w:rPr>
            </w:pPr>
            <w:r>
              <w:rPr>
                <w:color w:val="000000"/>
                <w:highlight w:val="none"/>
              </w:rPr>
              <w:t xml:space="preserve">万元</w:t>
            </w:r>
            <w:r/>
          </w:p>
        </w:tc>
        <w:tc>
          <w:tcPr>
            <w:tcW w:w="567" w:type="dxa"/>
            <w:vAlign w:val="center"/>
            <w:vMerge w:val="continue"/>
            <w:textDirection w:val="lrTb"/>
            <w:noWrap/>
          </w:tcPr>
          <w:p>
            <w:pPr>
              <w:tabs>
                <w:tab w:val="left" w:pos="4320" w:leader="none"/>
              </w:tabs>
              <w:rPr>
                <w:color w:val="000000"/>
                <w:highlight w:val="none"/>
              </w:rPr>
            </w:pPr>
            <w:r>
              <w:rPr>
                <w:color w:val="000000"/>
                <w:highlight w:val="none"/>
              </w:rPr>
            </w:r>
            <w:r/>
          </w:p>
        </w:tc>
        <w:tc>
          <w:tcPr>
            <w:tcW w:w="946" w:type="dxa"/>
            <w:vAlign w:val="center"/>
            <w:vMerge w:val="restart"/>
            <w:textDirection w:val="lrTb"/>
            <w:noWrap/>
          </w:tcPr>
          <w:p>
            <w:pPr>
              <w:jc w:val="center"/>
              <w:tabs>
                <w:tab w:val="left" w:pos="4320" w:leader="none"/>
              </w:tabs>
              <w:rPr>
                <w:color w:val="000000"/>
                <w:highlight w:val="none"/>
              </w:rPr>
            </w:pPr>
            <w:r>
              <w:rPr>
                <w:color w:val="000000"/>
                <w:highlight w:val="none"/>
              </w:rPr>
              <w:t xml:space="preserve">主要</w:t>
            </w:r>
            <w:r/>
          </w:p>
          <w:p>
            <w:pPr>
              <w:jc w:val="center"/>
              <w:tabs>
                <w:tab w:val="left" w:pos="4320" w:leader="none"/>
              </w:tabs>
              <w:rPr>
                <w:color w:val="000000"/>
                <w:highlight w:val="none"/>
              </w:rPr>
            </w:pPr>
            <w:r>
              <w:rPr>
                <w:color w:val="000000"/>
                <w:highlight w:val="none"/>
              </w:rPr>
              <w:t xml:space="preserve">产品</w:t>
            </w:r>
            <w:r/>
          </w:p>
        </w:tc>
        <w:tc>
          <w:tcPr>
            <w:gridSpan w:val="5"/>
            <w:tcW w:w="4142" w:type="dxa"/>
            <w:vAlign w:val="center"/>
            <w:textDirection w:val="lrTb"/>
            <w:noWrap/>
          </w:tcPr>
          <w:p>
            <w:pPr>
              <w:spacing w:before="120" w:after="120"/>
              <w:tabs>
                <w:tab w:val="left" w:pos="4320" w:leader="none"/>
              </w:tabs>
              <w:rPr>
                <w:color w:val="000000"/>
                <w:highlight w:val="none"/>
              </w:rPr>
            </w:pPr>
            <w:r>
              <w:rPr>
                <w:color w:val="000000"/>
                <w:highlight w:val="none"/>
              </w:rPr>
              <w:t xml:space="preserve">1.</w:t>
            </w:r>
            <w:r/>
          </w:p>
        </w:tc>
      </w:tr>
      <w:tr>
        <w:trPr>
          <w:cantSplit/>
          <w:trHeight w:val="777"/>
        </w:trPr>
        <w:tc>
          <w:tcPr>
            <w:tcW w:w="817" w:type="dxa"/>
            <w:vAlign w:val="center"/>
            <w:vMerge w:val="continue"/>
            <w:textDirection w:val="lrTb"/>
            <w:noWrap/>
          </w:tcPr>
          <w:p>
            <w:pPr>
              <w:ind w:left="266" w:hanging="233"/>
              <w:tabs>
                <w:tab w:val="left" w:pos="4320" w:leader="none"/>
              </w:tabs>
              <w:rPr>
                <w:color w:val="000000"/>
                <w:highlight w:val="none"/>
              </w:rPr>
            </w:pPr>
            <w:r>
              <w:rPr>
                <w:color w:val="000000"/>
                <w:highlight w:val="none"/>
              </w:rPr>
            </w:r>
            <w:r/>
          </w:p>
        </w:tc>
        <w:tc>
          <w:tcPr>
            <w:gridSpan w:val="2"/>
            <w:tcW w:w="1276" w:type="dxa"/>
            <w:vAlign w:val="center"/>
            <w:textDirection w:val="lrTb"/>
            <w:noWrap/>
          </w:tcPr>
          <w:p>
            <w:pPr>
              <w:jc w:val="center"/>
              <w:tabs>
                <w:tab w:val="left" w:pos="4320" w:leader="none"/>
              </w:tabs>
              <w:rPr>
                <w:color w:val="000000"/>
                <w:highlight w:val="none"/>
              </w:rPr>
            </w:pPr>
            <w:r>
              <w:rPr>
                <w:color w:val="000000"/>
                <w:highlight w:val="none"/>
              </w:rPr>
              <w:t xml:space="preserve">固定资产</w:t>
            </w:r>
            <w:r/>
          </w:p>
          <w:p>
            <w:pPr>
              <w:jc w:val="center"/>
              <w:tabs>
                <w:tab w:val="left" w:pos="4320" w:leader="none"/>
              </w:tabs>
              <w:rPr>
                <w:color w:val="000000"/>
                <w:highlight w:val="none"/>
              </w:rPr>
            </w:pPr>
            <w:r>
              <w:rPr>
                <w:color w:val="000000"/>
                <w:highlight w:val="none"/>
              </w:rPr>
              <w:t xml:space="preserve">（万元）</w:t>
            </w:r>
            <w:r/>
          </w:p>
        </w:tc>
        <w:tc>
          <w:tcPr>
            <w:gridSpan w:val="2"/>
            <w:tcW w:w="1417" w:type="dxa"/>
            <w:vAlign w:val="center"/>
            <w:textDirection w:val="lrTb"/>
            <w:noWrap/>
          </w:tcPr>
          <w:p>
            <w:pPr>
              <w:ind w:right="-133" w:hanging="48"/>
              <w:tabs>
                <w:tab w:val="left" w:pos="-48" w:leader="none"/>
                <w:tab w:val="left" w:pos="4320" w:leader="none"/>
              </w:tabs>
              <w:rPr>
                <w:color w:val="000000"/>
                <w:highlight w:val="none"/>
              </w:rPr>
            </w:pPr>
            <w:r>
              <w:rPr>
                <w:color w:val="000000"/>
                <w:highlight w:val="none"/>
              </w:rPr>
              <w:t xml:space="preserve">原值：</w:t>
            </w:r>
            <w:r/>
          </w:p>
          <w:p>
            <w:pPr>
              <w:ind w:right="-133" w:hanging="48"/>
              <w:tabs>
                <w:tab w:val="left" w:pos="-48" w:leader="none"/>
                <w:tab w:val="left" w:pos="4320" w:leader="none"/>
              </w:tabs>
              <w:rPr>
                <w:color w:val="000000"/>
                <w:highlight w:val="none"/>
              </w:rPr>
            </w:pPr>
            <w:r>
              <w:rPr>
                <w:color w:val="000000"/>
                <w:highlight w:val="none"/>
              </w:rPr>
              <w:t xml:space="preserve">净值：</w:t>
            </w:r>
            <w:r/>
          </w:p>
        </w:tc>
        <w:tc>
          <w:tcPr>
            <w:tcW w:w="567" w:type="dxa"/>
            <w:vAlign w:val="center"/>
            <w:vMerge w:val="continue"/>
            <w:textDirection w:val="lrTb"/>
            <w:noWrap/>
          </w:tcPr>
          <w:p>
            <w:pPr>
              <w:tabs>
                <w:tab w:val="left" w:pos="4320" w:leader="none"/>
              </w:tabs>
              <w:rPr>
                <w:color w:val="000000"/>
                <w:highlight w:val="none"/>
              </w:rPr>
            </w:pPr>
            <w:r>
              <w:rPr>
                <w:color w:val="000000"/>
                <w:highlight w:val="none"/>
              </w:rPr>
            </w:r>
            <w:r/>
          </w:p>
        </w:tc>
        <w:tc>
          <w:tcPr>
            <w:tcW w:w="946" w:type="dxa"/>
            <w:vAlign w:val="center"/>
            <w:vMerge w:val="continue"/>
            <w:textDirection w:val="lrTb"/>
            <w:noWrap/>
          </w:tcPr>
          <w:p>
            <w:pPr>
              <w:jc w:val="center"/>
              <w:tabs>
                <w:tab w:val="left" w:pos="4320" w:leader="none"/>
              </w:tabs>
              <w:rPr>
                <w:color w:val="000000"/>
                <w:highlight w:val="none"/>
              </w:rPr>
            </w:pPr>
            <w:r>
              <w:rPr>
                <w:color w:val="000000"/>
                <w:highlight w:val="none"/>
              </w:rPr>
            </w:r>
            <w:r/>
          </w:p>
        </w:tc>
        <w:tc>
          <w:tcPr>
            <w:gridSpan w:val="5"/>
            <w:tcW w:w="4142" w:type="dxa"/>
            <w:vAlign w:val="center"/>
            <w:textDirection w:val="lrTb"/>
            <w:noWrap/>
          </w:tcPr>
          <w:p>
            <w:pPr>
              <w:tabs>
                <w:tab w:val="left" w:pos="4320" w:leader="none"/>
              </w:tabs>
              <w:rPr>
                <w:color w:val="000000"/>
                <w:highlight w:val="none"/>
              </w:rPr>
            </w:pPr>
            <w:r>
              <w:rPr>
                <w:color w:val="000000"/>
                <w:highlight w:val="none"/>
              </w:rPr>
              <w:t xml:space="preserve">2.</w:t>
            </w:r>
            <w:r/>
          </w:p>
        </w:tc>
      </w:tr>
      <w:tr>
        <w:trPr>
          <w:cantSplit/>
          <w:trHeight w:val="591"/>
        </w:trPr>
        <w:tc>
          <w:tcPr>
            <w:tcW w:w="817" w:type="dxa"/>
            <w:vAlign w:val="center"/>
            <w:vMerge w:val="continue"/>
            <w:textDirection w:val="lrTb"/>
            <w:noWrap/>
          </w:tcPr>
          <w:p>
            <w:pPr>
              <w:ind w:left="266" w:hanging="233"/>
              <w:tabs>
                <w:tab w:val="left" w:pos="4320" w:leader="none"/>
              </w:tabs>
              <w:rPr>
                <w:color w:val="000000"/>
                <w:highlight w:val="none"/>
              </w:rPr>
            </w:pPr>
            <w:r>
              <w:rPr>
                <w:color w:val="000000"/>
                <w:highlight w:val="none"/>
              </w:rPr>
            </w:r>
            <w:r/>
          </w:p>
        </w:tc>
        <w:tc>
          <w:tcPr>
            <w:gridSpan w:val="2"/>
            <w:tcW w:w="1276" w:type="dxa"/>
            <w:vAlign w:val="center"/>
            <w:textDirection w:val="lrTb"/>
            <w:noWrap/>
          </w:tcPr>
          <w:p>
            <w:pPr>
              <w:jc w:val="center"/>
              <w:tabs>
                <w:tab w:val="left" w:pos="4320" w:leader="none"/>
              </w:tabs>
              <w:rPr>
                <w:color w:val="000000"/>
                <w:highlight w:val="none"/>
              </w:rPr>
            </w:pPr>
            <w:r>
              <w:rPr>
                <w:color w:val="000000"/>
                <w:highlight w:val="none"/>
              </w:rPr>
              <w:t xml:space="preserve">占地面积</w:t>
            </w:r>
            <w:r/>
          </w:p>
        </w:tc>
        <w:tc>
          <w:tcPr>
            <w:gridSpan w:val="2"/>
            <w:tcW w:w="1417" w:type="dxa"/>
            <w:vAlign w:val="center"/>
            <w:textDirection w:val="lrTb"/>
            <w:noWrap/>
          </w:tcPr>
          <w:p>
            <w:pPr>
              <w:jc w:val="right"/>
              <w:tabs>
                <w:tab w:val="left" w:pos="4320" w:leader="none"/>
              </w:tabs>
              <w:rPr>
                <w:color w:val="000000"/>
                <w:highlight w:val="none"/>
              </w:rPr>
            </w:pPr>
            <w:r>
              <w:rPr>
                <w:color w:val="000000"/>
                <w:highlight w:val="none"/>
              </w:rPr>
              <w:t xml:space="preserve">M</w:t>
            </w:r>
            <w:r>
              <w:rPr>
                <w:color w:val="000000"/>
                <w:highlight w:val="none"/>
                <w:vertAlign w:val="superscript"/>
              </w:rPr>
              <w:t xml:space="preserve">2</w:t>
            </w:r>
            <w:r/>
          </w:p>
        </w:tc>
        <w:tc>
          <w:tcPr>
            <w:tcW w:w="567" w:type="dxa"/>
            <w:vAlign w:val="center"/>
            <w:vMerge w:val="continue"/>
            <w:textDirection w:val="lrTb"/>
            <w:noWrap/>
          </w:tcPr>
          <w:p>
            <w:pPr>
              <w:tabs>
                <w:tab w:val="left" w:pos="4320" w:leader="none"/>
              </w:tabs>
              <w:rPr>
                <w:color w:val="000000"/>
                <w:highlight w:val="none"/>
              </w:rPr>
            </w:pPr>
            <w:r>
              <w:rPr>
                <w:color w:val="000000"/>
                <w:highlight w:val="none"/>
              </w:rPr>
            </w:r>
            <w:r/>
          </w:p>
        </w:tc>
        <w:tc>
          <w:tcPr>
            <w:tcW w:w="946" w:type="dxa"/>
            <w:vAlign w:val="center"/>
            <w:vMerge w:val="continue"/>
            <w:textDirection w:val="lrTb"/>
            <w:noWrap/>
          </w:tcPr>
          <w:p>
            <w:pPr>
              <w:jc w:val="center"/>
              <w:tabs>
                <w:tab w:val="left" w:pos="4320" w:leader="none"/>
              </w:tabs>
              <w:rPr>
                <w:color w:val="000000"/>
                <w:highlight w:val="none"/>
              </w:rPr>
            </w:pPr>
            <w:r>
              <w:rPr>
                <w:color w:val="000000"/>
                <w:highlight w:val="none"/>
              </w:rPr>
            </w:r>
            <w:r/>
          </w:p>
        </w:tc>
        <w:tc>
          <w:tcPr>
            <w:gridSpan w:val="5"/>
            <w:tcW w:w="4142" w:type="dxa"/>
            <w:vAlign w:val="center"/>
            <w:textDirection w:val="lrTb"/>
            <w:noWrap/>
          </w:tcPr>
          <w:p>
            <w:pPr>
              <w:spacing w:before="120" w:after="120"/>
              <w:tabs>
                <w:tab w:val="left" w:pos="4320" w:leader="none"/>
              </w:tabs>
              <w:rPr>
                <w:color w:val="000000"/>
                <w:highlight w:val="none"/>
              </w:rPr>
            </w:pPr>
            <w:r>
              <w:rPr>
                <w:color w:val="000000"/>
                <w:highlight w:val="none"/>
              </w:rPr>
              <w:t xml:space="preserve">3.</w:t>
            </w:r>
            <w:r/>
          </w:p>
        </w:tc>
      </w:tr>
      <w:tr>
        <w:trPr>
          <w:cantSplit/>
          <w:trHeight w:val="397"/>
        </w:trPr>
        <w:tc>
          <w:tcPr>
            <w:tcW w:w="817" w:type="dxa"/>
            <w:vAlign w:val="center"/>
            <w:vMerge w:val="restart"/>
            <w:textDirection w:val="lrTb"/>
            <w:noWrap/>
          </w:tcPr>
          <w:p>
            <w:pPr>
              <w:ind w:left="266" w:hanging="233"/>
              <w:tabs>
                <w:tab w:val="left" w:pos="4320" w:leader="none"/>
              </w:tabs>
              <w:rPr>
                <w:color w:val="000000"/>
                <w:highlight w:val="none"/>
              </w:rPr>
            </w:pPr>
            <w:r>
              <w:rPr>
                <w:color w:val="000000"/>
                <w:highlight w:val="none"/>
              </w:rPr>
              <w:t xml:space="preserve">本次</w:t>
            </w:r>
            <w:r/>
          </w:p>
          <w:p>
            <w:pPr>
              <w:ind w:left="266" w:hanging="233"/>
              <w:tabs>
                <w:tab w:val="left" w:pos="4320" w:leader="none"/>
              </w:tabs>
              <w:rPr>
                <w:color w:val="000000"/>
                <w:highlight w:val="none"/>
              </w:rPr>
            </w:pPr>
            <w:r>
              <w:rPr>
                <w:color w:val="000000"/>
                <w:highlight w:val="none"/>
              </w:rPr>
              <w:t xml:space="preserve">投标</w:t>
            </w:r>
            <w:r/>
          </w:p>
          <w:p>
            <w:pPr>
              <w:ind w:left="266" w:hanging="233"/>
              <w:tabs>
                <w:tab w:val="left" w:pos="4320" w:leader="none"/>
              </w:tabs>
              <w:rPr>
                <w:color w:val="000000"/>
                <w:highlight w:val="none"/>
              </w:rPr>
            </w:pPr>
            <w:r>
              <w:rPr>
                <w:color w:val="000000"/>
                <w:highlight w:val="none"/>
              </w:rPr>
              <w:t xml:space="preserve">产品</w:t>
            </w:r>
            <w:r/>
          </w:p>
          <w:p>
            <w:pPr>
              <w:ind w:left="266" w:hanging="233"/>
              <w:tabs>
                <w:tab w:val="left" w:pos="4320" w:leader="none"/>
              </w:tabs>
              <w:rPr>
                <w:color w:val="000000"/>
                <w:highlight w:val="none"/>
              </w:rPr>
            </w:pPr>
            <w:r>
              <w:rPr>
                <w:color w:val="000000"/>
                <w:highlight w:val="none"/>
              </w:rPr>
              <w:t xml:space="preserve">情况</w:t>
            </w:r>
            <w:r/>
          </w:p>
        </w:tc>
        <w:tc>
          <w:tcPr>
            <w:gridSpan w:val="3"/>
            <w:tcW w:w="1643" w:type="dxa"/>
            <w:vAlign w:val="center"/>
            <w:textDirection w:val="lrTb"/>
            <w:noWrap/>
          </w:tcPr>
          <w:p>
            <w:pPr>
              <w:jc w:val="center"/>
              <w:spacing w:before="60" w:after="60"/>
              <w:tabs>
                <w:tab w:val="left" w:pos="4320" w:leader="none"/>
              </w:tabs>
              <w:rPr>
                <w:color w:val="000000"/>
                <w:highlight w:val="none"/>
              </w:rPr>
            </w:pPr>
            <w:r>
              <w:rPr>
                <w:color w:val="000000"/>
                <w:highlight w:val="none"/>
              </w:rPr>
              <w:t xml:space="preserve">本次投标</w:t>
            </w:r>
            <w:r>
              <w:rPr>
                <w:color w:val="000000"/>
                <w:highlight w:val="none"/>
              </w:rPr>
              <w:br w:type="textWrapping" w:clear="all"/>
            </w:r>
            <w:r>
              <w:rPr>
                <w:color w:val="000000"/>
                <w:highlight w:val="none"/>
              </w:rPr>
              <w:t xml:space="preserve">产品名称</w:t>
            </w:r>
            <w:r/>
          </w:p>
        </w:tc>
        <w:tc>
          <w:tcPr>
            <w:gridSpan w:val="2"/>
            <w:tcW w:w="1617" w:type="dxa"/>
            <w:vAlign w:val="center"/>
            <w:textDirection w:val="lrTb"/>
            <w:noWrap/>
          </w:tcPr>
          <w:p>
            <w:pPr>
              <w:jc w:val="center"/>
              <w:spacing w:before="60" w:after="60"/>
              <w:tabs>
                <w:tab w:val="left" w:pos="4320" w:leader="none"/>
              </w:tabs>
              <w:rPr>
                <w:color w:val="000000"/>
                <w:highlight w:val="none"/>
              </w:rPr>
            </w:pPr>
            <w:r>
              <w:rPr>
                <w:color w:val="000000"/>
                <w:highlight w:val="none"/>
              </w:rPr>
              <w:t xml:space="preserve">型    号</w:t>
            </w:r>
            <w:r/>
          </w:p>
        </w:tc>
        <w:tc>
          <w:tcPr>
            <w:tcW w:w="946" w:type="dxa"/>
            <w:vAlign w:val="center"/>
            <w:textDirection w:val="lrTb"/>
            <w:noWrap/>
          </w:tcPr>
          <w:p>
            <w:pPr>
              <w:jc w:val="center"/>
              <w:spacing w:before="60" w:after="60"/>
              <w:tabs>
                <w:tab w:val="left" w:pos="4320" w:leader="none"/>
              </w:tabs>
              <w:rPr>
                <w:color w:val="000000"/>
                <w:highlight w:val="none"/>
              </w:rPr>
            </w:pPr>
            <w:r>
              <w:rPr>
                <w:color w:val="000000"/>
                <w:highlight w:val="none"/>
              </w:rPr>
              <w:t xml:space="preserve">上年</w:t>
            </w:r>
            <w:r>
              <w:rPr>
                <w:color w:val="000000"/>
                <w:highlight w:val="none"/>
              </w:rPr>
              <w:br w:type="textWrapping" w:clear="all"/>
            </w:r>
            <w:r>
              <w:rPr>
                <w:color w:val="000000"/>
                <w:highlight w:val="none"/>
              </w:rPr>
              <w:t xml:space="preserve">产销量</w:t>
            </w:r>
            <w:r/>
          </w:p>
        </w:tc>
        <w:tc>
          <w:tcPr>
            <w:tcW w:w="1263" w:type="dxa"/>
            <w:vAlign w:val="center"/>
            <w:textDirection w:val="lrTb"/>
            <w:noWrap/>
          </w:tcPr>
          <w:p>
            <w:pPr>
              <w:jc w:val="center"/>
              <w:spacing w:before="60" w:after="60"/>
              <w:tabs>
                <w:tab w:val="left" w:pos="4320" w:leader="none"/>
              </w:tabs>
              <w:rPr>
                <w:color w:val="000000"/>
                <w:highlight w:val="none"/>
              </w:rPr>
            </w:pPr>
            <w:r>
              <w:rPr>
                <w:color w:val="000000"/>
                <w:highlight w:val="none"/>
              </w:rPr>
              <w:t xml:space="preserve">产品技术</w:t>
            </w:r>
            <w:r/>
          </w:p>
          <w:p>
            <w:pPr>
              <w:jc w:val="center"/>
              <w:spacing w:before="60" w:after="60"/>
              <w:tabs>
                <w:tab w:val="left" w:pos="4320" w:leader="none"/>
              </w:tabs>
              <w:rPr>
                <w:color w:val="000000"/>
                <w:highlight w:val="none"/>
              </w:rPr>
            </w:pPr>
            <w:r>
              <w:rPr>
                <w:color w:val="000000"/>
                <w:highlight w:val="none"/>
              </w:rPr>
              <w:t xml:space="preserve">先进水平</w:t>
            </w:r>
            <w:r/>
          </w:p>
        </w:tc>
        <w:tc>
          <w:tcPr>
            <w:gridSpan w:val="2"/>
            <w:tcW w:w="1273" w:type="dxa"/>
            <w:vAlign w:val="center"/>
            <w:textDirection w:val="lrTb"/>
            <w:noWrap/>
          </w:tcPr>
          <w:p>
            <w:pPr>
              <w:jc w:val="center"/>
              <w:spacing w:before="60" w:after="60"/>
              <w:tabs>
                <w:tab w:val="left" w:pos="4320" w:leader="none"/>
              </w:tabs>
              <w:rPr>
                <w:color w:val="000000"/>
                <w:highlight w:val="none"/>
              </w:rPr>
            </w:pPr>
            <w:r>
              <w:rPr>
                <w:color w:val="000000"/>
                <w:highlight w:val="none"/>
              </w:rPr>
              <w:t xml:space="preserve">曾获何级</w:t>
            </w:r>
            <w:r/>
          </w:p>
          <w:p>
            <w:pPr>
              <w:jc w:val="center"/>
              <w:spacing w:before="60" w:after="60"/>
              <w:tabs>
                <w:tab w:val="left" w:pos="4320" w:leader="none"/>
              </w:tabs>
              <w:rPr>
                <w:color w:val="000000"/>
                <w:highlight w:val="none"/>
              </w:rPr>
            </w:pPr>
            <w:r>
              <w:rPr>
                <w:color w:val="000000"/>
                <w:highlight w:val="none"/>
              </w:rPr>
              <w:t xml:space="preserve">何种奖励</w:t>
            </w:r>
            <w:r/>
          </w:p>
        </w:tc>
        <w:tc>
          <w:tcPr>
            <w:gridSpan w:val="2"/>
            <w:tcW w:w="1606" w:type="dxa"/>
            <w:vAlign w:val="center"/>
            <w:textDirection w:val="lrTb"/>
            <w:noWrap/>
          </w:tcPr>
          <w:p>
            <w:pPr>
              <w:jc w:val="center"/>
              <w:spacing w:before="60" w:after="60"/>
              <w:tabs>
                <w:tab w:val="left" w:pos="4320" w:leader="none"/>
              </w:tabs>
              <w:rPr>
                <w:color w:val="000000"/>
                <w:highlight w:val="none"/>
              </w:rPr>
            </w:pPr>
            <w:r>
              <w:rPr>
                <w:color w:val="000000"/>
                <w:highlight w:val="none"/>
              </w:rPr>
              <w:t xml:space="preserve">主要用户</w:t>
            </w:r>
            <w:r>
              <w:rPr>
                <w:color w:val="000000"/>
                <w:highlight w:val="none"/>
              </w:rPr>
              <w:br w:type="textWrapping" w:clear="all"/>
            </w:r>
            <w:r>
              <w:rPr>
                <w:color w:val="000000"/>
                <w:highlight w:val="none"/>
              </w:rPr>
              <w:t xml:space="preserve">名称</w:t>
            </w:r>
            <w:r/>
          </w:p>
        </w:tc>
      </w:tr>
      <w:tr>
        <w:trPr>
          <w:cantSplit/>
          <w:trHeight w:val="397"/>
        </w:trPr>
        <w:tc>
          <w:tcPr>
            <w:tcW w:w="817" w:type="dxa"/>
            <w:vAlign w:val="center"/>
            <w:vMerge w:val="continue"/>
            <w:textDirection w:val="lrTb"/>
            <w:noWrap/>
          </w:tcPr>
          <w:p>
            <w:pPr>
              <w:tabs>
                <w:tab w:val="left" w:pos="4320" w:leader="none"/>
              </w:tabs>
              <w:rPr>
                <w:color w:val="000000"/>
                <w:highlight w:val="none"/>
              </w:rPr>
            </w:pPr>
            <w:r>
              <w:rPr>
                <w:color w:val="000000"/>
                <w:highlight w:val="none"/>
              </w:rPr>
            </w:r>
            <w:r/>
          </w:p>
        </w:tc>
        <w:tc>
          <w:tcPr>
            <w:gridSpan w:val="3"/>
            <w:tcW w:w="1643" w:type="dxa"/>
            <w:vAlign w:val="center"/>
            <w:textDirection w:val="lrTb"/>
            <w:noWrap/>
          </w:tcPr>
          <w:p>
            <w:pPr>
              <w:tabs>
                <w:tab w:val="left" w:pos="4320" w:leader="none"/>
              </w:tabs>
              <w:rPr>
                <w:color w:val="000000"/>
                <w:highlight w:val="none"/>
              </w:rPr>
            </w:pPr>
            <w:r>
              <w:rPr>
                <w:color w:val="000000"/>
                <w:highlight w:val="none"/>
              </w:rPr>
            </w:r>
            <w:r/>
          </w:p>
        </w:tc>
        <w:tc>
          <w:tcPr>
            <w:gridSpan w:val="2"/>
            <w:tcW w:w="1617" w:type="dxa"/>
            <w:vAlign w:val="center"/>
            <w:textDirection w:val="lrTb"/>
            <w:noWrap/>
          </w:tcPr>
          <w:p>
            <w:pPr>
              <w:tabs>
                <w:tab w:val="left" w:pos="4320" w:leader="none"/>
              </w:tabs>
              <w:rPr>
                <w:color w:val="000000"/>
                <w:highlight w:val="none"/>
              </w:rPr>
            </w:pPr>
            <w:r>
              <w:rPr>
                <w:color w:val="000000"/>
                <w:highlight w:val="none"/>
              </w:rPr>
            </w:r>
            <w:r/>
          </w:p>
        </w:tc>
        <w:tc>
          <w:tcPr>
            <w:tcW w:w="946" w:type="dxa"/>
            <w:vAlign w:val="center"/>
            <w:textDirection w:val="lrTb"/>
            <w:noWrap/>
          </w:tcPr>
          <w:p>
            <w:pPr>
              <w:tabs>
                <w:tab w:val="left" w:pos="4320" w:leader="none"/>
              </w:tabs>
              <w:rPr>
                <w:color w:val="000000"/>
                <w:highlight w:val="none"/>
              </w:rPr>
            </w:pPr>
            <w:r>
              <w:rPr>
                <w:color w:val="000000"/>
                <w:highlight w:val="none"/>
              </w:rPr>
            </w:r>
            <w:r/>
          </w:p>
        </w:tc>
        <w:tc>
          <w:tcPr>
            <w:tcW w:w="1263" w:type="dxa"/>
            <w:vAlign w:val="center"/>
            <w:textDirection w:val="lrTb"/>
            <w:noWrap/>
          </w:tcPr>
          <w:p>
            <w:pPr>
              <w:tabs>
                <w:tab w:val="left" w:pos="4320" w:leader="none"/>
              </w:tabs>
              <w:rPr>
                <w:color w:val="000000"/>
                <w:highlight w:val="none"/>
              </w:rPr>
            </w:pPr>
            <w:r>
              <w:rPr>
                <w:color w:val="000000"/>
                <w:highlight w:val="none"/>
              </w:rPr>
            </w:r>
            <w:r/>
          </w:p>
        </w:tc>
        <w:tc>
          <w:tcPr>
            <w:gridSpan w:val="2"/>
            <w:tcW w:w="1273" w:type="dxa"/>
            <w:vAlign w:val="center"/>
            <w:textDirection w:val="lrTb"/>
            <w:noWrap/>
          </w:tcPr>
          <w:p>
            <w:pPr>
              <w:tabs>
                <w:tab w:val="left" w:pos="4320" w:leader="none"/>
              </w:tabs>
              <w:rPr>
                <w:color w:val="000000"/>
                <w:highlight w:val="none"/>
              </w:rPr>
            </w:pPr>
            <w:r>
              <w:rPr>
                <w:color w:val="000000"/>
                <w:highlight w:val="none"/>
              </w:rPr>
            </w:r>
            <w:r/>
          </w:p>
        </w:tc>
        <w:tc>
          <w:tcPr>
            <w:gridSpan w:val="2"/>
            <w:tcW w:w="1606" w:type="dxa"/>
            <w:vAlign w:val="center"/>
            <w:textDirection w:val="lrTb"/>
            <w:noWrap/>
          </w:tcPr>
          <w:p>
            <w:pPr>
              <w:tabs>
                <w:tab w:val="left" w:pos="4320" w:leader="none"/>
              </w:tabs>
              <w:rPr>
                <w:color w:val="000000"/>
                <w:highlight w:val="none"/>
              </w:rPr>
            </w:pPr>
            <w:r>
              <w:rPr>
                <w:color w:val="000000"/>
                <w:highlight w:val="none"/>
              </w:rPr>
            </w:r>
            <w:r/>
          </w:p>
        </w:tc>
      </w:tr>
      <w:tr>
        <w:trPr>
          <w:cantSplit/>
          <w:trHeight w:val="397"/>
        </w:trPr>
        <w:tc>
          <w:tcPr>
            <w:tcW w:w="817" w:type="dxa"/>
            <w:vAlign w:val="center"/>
            <w:vMerge w:val="continue"/>
            <w:textDirection w:val="lrTb"/>
            <w:noWrap/>
          </w:tcPr>
          <w:p>
            <w:pPr>
              <w:tabs>
                <w:tab w:val="left" w:pos="4320" w:leader="none"/>
              </w:tabs>
              <w:rPr>
                <w:color w:val="000000"/>
                <w:highlight w:val="none"/>
              </w:rPr>
            </w:pPr>
            <w:r>
              <w:rPr>
                <w:color w:val="000000"/>
                <w:highlight w:val="none"/>
              </w:rPr>
            </w:r>
            <w:r/>
          </w:p>
        </w:tc>
        <w:tc>
          <w:tcPr>
            <w:gridSpan w:val="3"/>
            <w:tcW w:w="1643" w:type="dxa"/>
            <w:vAlign w:val="center"/>
            <w:textDirection w:val="lrTb"/>
            <w:noWrap/>
          </w:tcPr>
          <w:p>
            <w:pPr>
              <w:tabs>
                <w:tab w:val="left" w:pos="4320" w:leader="none"/>
              </w:tabs>
              <w:rPr>
                <w:color w:val="000000"/>
                <w:highlight w:val="none"/>
              </w:rPr>
            </w:pPr>
            <w:r>
              <w:rPr>
                <w:color w:val="000000"/>
                <w:highlight w:val="none"/>
              </w:rPr>
            </w:r>
            <w:r/>
          </w:p>
        </w:tc>
        <w:tc>
          <w:tcPr>
            <w:gridSpan w:val="2"/>
            <w:tcW w:w="1617" w:type="dxa"/>
            <w:vAlign w:val="center"/>
            <w:textDirection w:val="lrTb"/>
            <w:noWrap/>
          </w:tcPr>
          <w:p>
            <w:pPr>
              <w:tabs>
                <w:tab w:val="left" w:pos="4320" w:leader="none"/>
              </w:tabs>
              <w:rPr>
                <w:color w:val="000000"/>
                <w:highlight w:val="none"/>
              </w:rPr>
            </w:pPr>
            <w:r>
              <w:rPr>
                <w:color w:val="000000"/>
                <w:highlight w:val="none"/>
              </w:rPr>
            </w:r>
            <w:r/>
          </w:p>
        </w:tc>
        <w:tc>
          <w:tcPr>
            <w:tcW w:w="946" w:type="dxa"/>
            <w:vAlign w:val="center"/>
            <w:textDirection w:val="lrTb"/>
            <w:noWrap/>
          </w:tcPr>
          <w:p>
            <w:pPr>
              <w:tabs>
                <w:tab w:val="left" w:pos="4320" w:leader="none"/>
              </w:tabs>
              <w:rPr>
                <w:color w:val="000000"/>
                <w:highlight w:val="none"/>
              </w:rPr>
            </w:pPr>
            <w:r>
              <w:rPr>
                <w:color w:val="000000"/>
                <w:highlight w:val="none"/>
              </w:rPr>
            </w:r>
            <w:r/>
          </w:p>
        </w:tc>
        <w:tc>
          <w:tcPr>
            <w:tcW w:w="1263" w:type="dxa"/>
            <w:vAlign w:val="center"/>
            <w:textDirection w:val="lrTb"/>
            <w:noWrap/>
          </w:tcPr>
          <w:p>
            <w:pPr>
              <w:tabs>
                <w:tab w:val="left" w:pos="4320" w:leader="none"/>
              </w:tabs>
              <w:rPr>
                <w:color w:val="000000"/>
                <w:highlight w:val="none"/>
              </w:rPr>
            </w:pPr>
            <w:r>
              <w:rPr>
                <w:color w:val="000000"/>
                <w:highlight w:val="none"/>
              </w:rPr>
            </w:r>
            <w:r/>
          </w:p>
        </w:tc>
        <w:tc>
          <w:tcPr>
            <w:gridSpan w:val="2"/>
            <w:tcW w:w="1273" w:type="dxa"/>
            <w:vAlign w:val="center"/>
            <w:textDirection w:val="lrTb"/>
            <w:noWrap/>
          </w:tcPr>
          <w:p>
            <w:pPr>
              <w:tabs>
                <w:tab w:val="left" w:pos="4320" w:leader="none"/>
              </w:tabs>
              <w:rPr>
                <w:color w:val="000000"/>
                <w:highlight w:val="none"/>
              </w:rPr>
            </w:pPr>
            <w:r>
              <w:rPr>
                <w:color w:val="000000"/>
                <w:highlight w:val="none"/>
              </w:rPr>
            </w:r>
            <w:r/>
          </w:p>
        </w:tc>
        <w:tc>
          <w:tcPr>
            <w:gridSpan w:val="2"/>
            <w:tcW w:w="1606" w:type="dxa"/>
            <w:vAlign w:val="center"/>
            <w:textDirection w:val="lrTb"/>
            <w:noWrap/>
          </w:tcPr>
          <w:p>
            <w:pPr>
              <w:tabs>
                <w:tab w:val="left" w:pos="4320" w:leader="none"/>
              </w:tabs>
              <w:rPr>
                <w:color w:val="000000"/>
                <w:highlight w:val="none"/>
              </w:rPr>
            </w:pPr>
            <w:r>
              <w:rPr>
                <w:color w:val="000000"/>
                <w:highlight w:val="none"/>
              </w:rPr>
            </w:r>
            <w:r/>
          </w:p>
        </w:tc>
      </w:tr>
      <w:tr>
        <w:trPr>
          <w:cantSplit/>
          <w:trHeight w:val="397"/>
        </w:trPr>
        <w:tc>
          <w:tcPr>
            <w:tcW w:w="817" w:type="dxa"/>
            <w:vAlign w:val="center"/>
            <w:vMerge w:val="continue"/>
            <w:textDirection w:val="lrTb"/>
            <w:noWrap/>
          </w:tcPr>
          <w:p>
            <w:pPr>
              <w:tabs>
                <w:tab w:val="left" w:pos="4320" w:leader="none"/>
              </w:tabs>
              <w:rPr>
                <w:color w:val="000000"/>
                <w:highlight w:val="none"/>
              </w:rPr>
            </w:pPr>
            <w:r>
              <w:rPr>
                <w:color w:val="000000"/>
                <w:highlight w:val="none"/>
              </w:rPr>
            </w:r>
            <w:r/>
          </w:p>
        </w:tc>
        <w:tc>
          <w:tcPr>
            <w:gridSpan w:val="3"/>
            <w:tcW w:w="1643" w:type="dxa"/>
            <w:vAlign w:val="center"/>
            <w:textDirection w:val="lrTb"/>
            <w:noWrap/>
          </w:tcPr>
          <w:p>
            <w:pPr>
              <w:tabs>
                <w:tab w:val="left" w:pos="4320" w:leader="none"/>
              </w:tabs>
              <w:rPr>
                <w:color w:val="000000"/>
                <w:highlight w:val="none"/>
              </w:rPr>
            </w:pPr>
            <w:r>
              <w:rPr>
                <w:color w:val="000000"/>
                <w:highlight w:val="none"/>
              </w:rPr>
            </w:r>
            <w:r/>
          </w:p>
        </w:tc>
        <w:tc>
          <w:tcPr>
            <w:gridSpan w:val="2"/>
            <w:tcW w:w="1617" w:type="dxa"/>
            <w:vAlign w:val="center"/>
            <w:textDirection w:val="lrTb"/>
            <w:noWrap/>
          </w:tcPr>
          <w:p>
            <w:pPr>
              <w:tabs>
                <w:tab w:val="left" w:pos="4320" w:leader="none"/>
              </w:tabs>
              <w:rPr>
                <w:color w:val="000000"/>
                <w:highlight w:val="none"/>
              </w:rPr>
            </w:pPr>
            <w:r>
              <w:rPr>
                <w:color w:val="000000"/>
                <w:highlight w:val="none"/>
              </w:rPr>
            </w:r>
            <w:r/>
          </w:p>
        </w:tc>
        <w:tc>
          <w:tcPr>
            <w:tcW w:w="946" w:type="dxa"/>
            <w:vAlign w:val="center"/>
            <w:textDirection w:val="lrTb"/>
            <w:noWrap/>
          </w:tcPr>
          <w:p>
            <w:pPr>
              <w:tabs>
                <w:tab w:val="left" w:pos="4320" w:leader="none"/>
              </w:tabs>
              <w:rPr>
                <w:color w:val="000000"/>
                <w:highlight w:val="none"/>
              </w:rPr>
            </w:pPr>
            <w:r>
              <w:rPr>
                <w:color w:val="000000"/>
                <w:highlight w:val="none"/>
              </w:rPr>
            </w:r>
            <w:r/>
          </w:p>
        </w:tc>
        <w:tc>
          <w:tcPr>
            <w:tcW w:w="1263" w:type="dxa"/>
            <w:vAlign w:val="center"/>
            <w:textDirection w:val="lrTb"/>
            <w:noWrap/>
          </w:tcPr>
          <w:p>
            <w:pPr>
              <w:tabs>
                <w:tab w:val="left" w:pos="4320" w:leader="none"/>
              </w:tabs>
              <w:rPr>
                <w:color w:val="000000"/>
                <w:highlight w:val="none"/>
              </w:rPr>
            </w:pPr>
            <w:r>
              <w:rPr>
                <w:color w:val="000000"/>
                <w:highlight w:val="none"/>
              </w:rPr>
            </w:r>
            <w:r/>
          </w:p>
        </w:tc>
        <w:tc>
          <w:tcPr>
            <w:gridSpan w:val="2"/>
            <w:tcW w:w="1273" w:type="dxa"/>
            <w:vAlign w:val="center"/>
            <w:textDirection w:val="lrTb"/>
            <w:noWrap/>
          </w:tcPr>
          <w:p>
            <w:pPr>
              <w:tabs>
                <w:tab w:val="left" w:pos="4320" w:leader="none"/>
              </w:tabs>
              <w:rPr>
                <w:color w:val="000000"/>
                <w:highlight w:val="none"/>
              </w:rPr>
            </w:pPr>
            <w:r>
              <w:rPr>
                <w:color w:val="000000"/>
                <w:highlight w:val="none"/>
              </w:rPr>
            </w:r>
            <w:r/>
          </w:p>
        </w:tc>
        <w:tc>
          <w:tcPr>
            <w:gridSpan w:val="2"/>
            <w:tcW w:w="1606" w:type="dxa"/>
            <w:vAlign w:val="center"/>
            <w:textDirection w:val="lrTb"/>
            <w:noWrap/>
          </w:tcPr>
          <w:p>
            <w:pPr>
              <w:tabs>
                <w:tab w:val="left" w:pos="4320" w:leader="none"/>
              </w:tabs>
              <w:rPr>
                <w:color w:val="000000"/>
                <w:highlight w:val="none"/>
              </w:rPr>
            </w:pPr>
            <w:r>
              <w:rPr>
                <w:color w:val="000000"/>
                <w:highlight w:val="none"/>
              </w:rPr>
            </w:r>
            <w:r/>
          </w:p>
        </w:tc>
      </w:tr>
      <w:tr>
        <w:trPr>
          <w:cantSplit/>
          <w:trHeight w:val="397"/>
        </w:trPr>
        <w:tc>
          <w:tcPr>
            <w:tcW w:w="817" w:type="dxa"/>
            <w:vAlign w:val="center"/>
            <w:vMerge w:val="continue"/>
            <w:textDirection w:val="lrTb"/>
            <w:noWrap/>
          </w:tcPr>
          <w:p>
            <w:pPr>
              <w:tabs>
                <w:tab w:val="left" w:pos="4320" w:leader="none"/>
              </w:tabs>
              <w:rPr>
                <w:color w:val="000000"/>
                <w:highlight w:val="none"/>
              </w:rPr>
            </w:pPr>
            <w:r>
              <w:rPr>
                <w:color w:val="000000"/>
                <w:highlight w:val="none"/>
              </w:rPr>
            </w:r>
            <w:r/>
          </w:p>
        </w:tc>
        <w:tc>
          <w:tcPr>
            <w:gridSpan w:val="3"/>
            <w:tcW w:w="1643" w:type="dxa"/>
            <w:vAlign w:val="center"/>
            <w:textDirection w:val="lrTb"/>
            <w:noWrap/>
          </w:tcPr>
          <w:p>
            <w:pPr>
              <w:tabs>
                <w:tab w:val="left" w:pos="4320" w:leader="none"/>
              </w:tabs>
              <w:rPr>
                <w:color w:val="000000"/>
                <w:highlight w:val="none"/>
              </w:rPr>
            </w:pPr>
            <w:r>
              <w:rPr>
                <w:color w:val="000000"/>
                <w:highlight w:val="none"/>
              </w:rPr>
            </w:r>
            <w:r/>
          </w:p>
        </w:tc>
        <w:tc>
          <w:tcPr>
            <w:gridSpan w:val="2"/>
            <w:tcW w:w="1617" w:type="dxa"/>
            <w:vAlign w:val="center"/>
            <w:textDirection w:val="lrTb"/>
            <w:noWrap/>
          </w:tcPr>
          <w:p>
            <w:pPr>
              <w:tabs>
                <w:tab w:val="left" w:pos="4320" w:leader="none"/>
              </w:tabs>
              <w:rPr>
                <w:color w:val="000000"/>
                <w:highlight w:val="none"/>
              </w:rPr>
            </w:pPr>
            <w:r>
              <w:rPr>
                <w:color w:val="000000"/>
                <w:highlight w:val="none"/>
              </w:rPr>
            </w:r>
            <w:r/>
          </w:p>
        </w:tc>
        <w:tc>
          <w:tcPr>
            <w:tcW w:w="946" w:type="dxa"/>
            <w:vAlign w:val="center"/>
            <w:textDirection w:val="lrTb"/>
            <w:noWrap/>
          </w:tcPr>
          <w:p>
            <w:pPr>
              <w:tabs>
                <w:tab w:val="left" w:pos="4320" w:leader="none"/>
              </w:tabs>
              <w:rPr>
                <w:color w:val="000000"/>
                <w:highlight w:val="none"/>
              </w:rPr>
            </w:pPr>
            <w:r>
              <w:rPr>
                <w:color w:val="000000"/>
                <w:highlight w:val="none"/>
              </w:rPr>
            </w:r>
            <w:r/>
          </w:p>
        </w:tc>
        <w:tc>
          <w:tcPr>
            <w:tcW w:w="1263" w:type="dxa"/>
            <w:vAlign w:val="center"/>
            <w:textDirection w:val="lrTb"/>
            <w:noWrap/>
          </w:tcPr>
          <w:p>
            <w:pPr>
              <w:tabs>
                <w:tab w:val="left" w:pos="4320" w:leader="none"/>
              </w:tabs>
              <w:rPr>
                <w:color w:val="000000"/>
                <w:highlight w:val="none"/>
              </w:rPr>
            </w:pPr>
            <w:r>
              <w:rPr>
                <w:color w:val="000000"/>
                <w:highlight w:val="none"/>
              </w:rPr>
            </w:r>
            <w:r/>
          </w:p>
        </w:tc>
        <w:tc>
          <w:tcPr>
            <w:gridSpan w:val="2"/>
            <w:tcW w:w="1273" w:type="dxa"/>
            <w:vAlign w:val="center"/>
            <w:textDirection w:val="lrTb"/>
            <w:noWrap/>
          </w:tcPr>
          <w:p>
            <w:pPr>
              <w:tabs>
                <w:tab w:val="left" w:pos="4320" w:leader="none"/>
              </w:tabs>
              <w:rPr>
                <w:color w:val="000000"/>
                <w:highlight w:val="none"/>
              </w:rPr>
            </w:pPr>
            <w:r>
              <w:rPr>
                <w:color w:val="000000"/>
                <w:highlight w:val="none"/>
              </w:rPr>
            </w:r>
            <w:r/>
          </w:p>
        </w:tc>
        <w:tc>
          <w:tcPr>
            <w:gridSpan w:val="2"/>
            <w:tcW w:w="1606" w:type="dxa"/>
            <w:vAlign w:val="center"/>
            <w:textDirection w:val="lrTb"/>
            <w:noWrap/>
          </w:tcPr>
          <w:p>
            <w:pPr>
              <w:tabs>
                <w:tab w:val="left" w:pos="4320" w:leader="none"/>
              </w:tabs>
              <w:rPr>
                <w:color w:val="000000"/>
                <w:highlight w:val="none"/>
              </w:rPr>
            </w:pPr>
            <w:r>
              <w:rPr>
                <w:color w:val="000000"/>
                <w:highlight w:val="none"/>
              </w:rPr>
            </w:r>
            <w:r/>
          </w:p>
        </w:tc>
      </w:tr>
      <w:tr>
        <w:trPr>
          <w:cantSplit/>
          <w:trHeight w:val="397"/>
        </w:trPr>
        <w:tc>
          <w:tcPr>
            <w:tcW w:w="817" w:type="dxa"/>
            <w:vAlign w:val="center"/>
            <w:vMerge w:val="restart"/>
            <w:textDirection w:val="lrTb"/>
            <w:noWrap/>
          </w:tcPr>
          <w:p>
            <w:pPr>
              <w:tabs>
                <w:tab w:val="left" w:pos="4320" w:leader="none"/>
              </w:tabs>
              <w:rPr>
                <w:color w:val="000000"/>
                <w:highlight w:val="none"/>
              </w:rPr>
            </w:pPr>
            <w:r>
              <w:rPr>
                <w:color w:val="000000"/>
                <w:highlight w:val="none"/>
              </w:rPr>
              <w:t xml:space="preserve">其它</w:t>
            </w:r>
            <w:r/>
          </w:p>
        </w:tc>
        <w:tc>
          <w:tcPr>
            <w:gridSpan w:val="6"/>
            <w:tcW w:w="4206" w:type="dxa"/>
            <w:vAlign w:val="center"/>
            <w:textDirection w:val="lrTb"/>
            <w:noWrap/>
          </w:tcPr>
          <w:p>
            <w:pPr>
              <w:spacing w:before="60" w:after="60"/>
              <w:tabs>
                <w:tab w:val="left" w:pos="4320" w:leader="none"/>
              </w:tabs>
              <w:rPr>
                <w:color w:val="000000"/>
                <w:highlight w:val="none"/>
              </w:rPr>
            </w:pPr>
            <w:r>
              <w:rPr>
                <w:color w:val="000000"/>
                <w:highlight w:val="none"/>
              </w:rPr>
              <w:t xml:space="preserve">近3年完成及正在执行的合同中发生的由于投标人违约或部分违约而引起诉讼和受到索赔的案件具体情况及结果（须如实填写，若对此进行隐瞒，</w:t>
            </w:r>
            <w:r>
              <w:rPr>
                <w:rFonts w:hint="eastAsia"/>
                <w:color w:val="000000"/>
                <w:highlight w:val="none"/>
              </w:rPr>
              <w:t xml:space="preserve">而后</w:t>
            </w:r>
            <w:r>
              <w:rPr>
                <w:color w:val="000000"/>
                <w:highlight w:val="none"/>
              </w:rPr>
              <w:t xml:space="preserve">又被</w:t>
            </w:r>
            <w:r>
              <w:rPr>
                <w:rFonts w:hint="eastAsia"/>
                <w:color w:val="000000"/>
                <w:highlight w:val="none"/>
              </w:rPr>
              <w:t xml:space="preserve">采购单位</w:t>
            </w:r>
            <w:r>
              <w:rPr>
                <w:color w:val="000000"/>
                <w:highlight w:val="none"/>
              </w:rPr>
              <w:t xml:space="preserve">或采购代理机构发现，或</w:t>
            </w:r>
            <w:r>
              <w:rPr>
                <w:rFonts w:hint="eastAsia"/>
                <w:color w:val="000000"/>
                <w:highlight w:val="none"/>
              </w:rPr>
              <w:t xml:space="preserve">被他人</w:t>
            </w:r>
            <w:r>
              <w:rPr>
                <w:color w:val="000000"/>
                <w:highlight w:val="none"/>
              </w:rPr>
              <w:t xml:space="preserve">举证成立，其投标资格将被取消）。</w:t>
            </w:r>
            <w:r/>
          </w:p>
        </w:tc>
        <w:tc>
          <w:tcPr>
            <w:gridSpan w:val="5"/>
            <w:tcW w:w="4142" w:type="dxa"/>
            <w:vAlign w:val="center"/>
            <w:textDirection w:val="lrTb"/>
            <w:noWrap/>
          </w:tcPr>
          <w:p>
            <w:pPr>
              <w:spacing w:before="60" w:after="60"/>
              <w:tabs>
                <w:tab w:val="left" w:pos="4320" w:leader="none"/>
              </w:tabs>
              <w:rPr>
                <w:color w:val="000000"/>
                <w:highlight w:val="none"/>
              </w:rPr>
            </w:pPr>
            <w:r>
              <w:rPr>
                <w:color w:val="000000"/>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3747"/>
        </w:trPr>
        <w:tc>
          <w:tcPr>
            <w:tcW w:w="817" w:type="dxa"/>
            <w:vAlign w:val="center"/>
            <w:vMerge w:val="continue"/>
            <w:textDirection w:val="lrTb"/>
            <w:noWrap/>
          </w:tcPr>
          <w:p>
            <w:pPr>
              <w:tabs>
                <w:tab w:val="left" w:pos="4320" w:leader="none"/>
              </w:tabs>
              <w:rPr>
                <w:color w:val="000000"/>
                <w:highlight w:val="none"/>
              </w:rPr>
            </w:pPr>
            <w:r>
              <w:rPr>
                <w:color w:val="000000"/>
                <w:highlight w:val="none"/>
              </w:rPr>
            </w:r>
            <w:r/>
          </w:p>
        </w:tc>
        <w:tc>
          <w:tcPr>
            <w:gridSpan w:val="6"/>
            <w:tcW w:w="4206" w:type="dxa"/>
            <w:vAlign w:val="center"/>
            <w:textDirection w:val="lrTb"/>
            <w:noWrap/>
          </w:tcPr>
          <w:p>
            <w:pPr>
              <w:tabs>
                <w:tab w:val="left" w:pos="4320" w:leader="none"/>
              </w:tabs>
              <w:rPr>
                <w:color w:val="000000"/>
                <w:highlight w:val="none"/>
              </w:rPr>
            </w:pPr>
            <w:r>
              <w:rPr>
                <w:color w:val="000000"/>
                <w:highlight w:val="none"/>
              </w:rPr>
            </w:r>
            <w:r/>
          </w:p>
        </w:tc>
        <w:tc>
          <w:tcPr>
            <w:gridSpan w:val="5"/>
            <w:tcW w:w="4142" w:type="dxa"/>
            <w:vAlign w:val="center"/>
            <w:textDirection w:val="lrTb"/>
            <w:noWrap/>
          </w:tcPr>
          <w:p>
            <w:pPr>
              <w:tabs>
                <w:tab w:val="left" w:pos="4320" w:leader="none"/>
              </w:tabs>
              <w:rPr>
                <w:color w:val="000000"/>
                <w:highlight w:val="none"/>
              </w:rPr>
            </w:pPr>
            <w:r>
              <w:rPr>
                <w:color w:val="000000"/>
                <w:highlight w:val="none"/>
              </w:rPr>
            </w:r>
            <w:r/>
          </w:p>
        </w:tc>
      </w:tr>
    </w:tbl>
    <w:p>
      <w:pPr>
        <w:jc w:val="center"/>
        <w:spacing w:line="52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left"/>
        <w:spacing w:line="52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color w:val="000000"/>
          <w:sz w:val="32"/>
          <w:szCs w:val="32"/>
          <w:highlight w:val="none"/>
        </w:rPr>
        <w:t xml:space="preserve">附件7</w:t>
      </w:r>
      <w:r/>
    </w:p>
    <w:p>
      <w:pPr>
        <w:contextualSpacing/>
        <w:jc w:val="center"/>
        <w:spacing w:line="300" w:lineRule="auto"/>
        <w:rPr>
          <w:b/>
          <w:color w:val="000000"/>
          <w:sz w:val="32"/>
          <w:szCs w:val="32"/>
          <w:highlight w:val="none"/>
        </w:rPr>
      </w:pPr>
      <w:r>
        <w:rPr>
          <w:b/>
          <w:color w:val="000000"/>
          <w:sz w:val="32"/>
          <w:szCs w:val="32"/>
          <w:highlight w:val="none"/>
        </w:rPr>
        <w:t xml:space="preserve">商务部分正负偏离表</w:t>
      </w:r>
      <w:r/>
    </w:p>
    <w:p>
      <w:pPr>
        <w:ind w:firstLine="560"/>
        <w:jc w:val="center"/>
        <w:rPr>
          <w:color w:val="000000"/>
          <w:sz w:val="28"/>
          <w:szCs w:val="28"/>
          <w:highlight w:val="none"/>
        </w:rPr>
      </w:pPr>
      <w:r>
        <w:rPr>
          <w:color w:val="000000"/>
          <w:sz w:val="28"/>
          <w:szCs w:val="28"/>
          <w:highlight w:val="none"/>
        </w:rPr>
        <w:t xml:space="preserve">（由投标人据实填写，表格不够自行添加）</w:t>
      </w:r>
      <w:r/>
    </w:p>
    <w:tbl>
      <w:tblPr>
        <w:tblStyle w:val="67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266"/>
        <w:gridCol w:w="1979"/>
        <w:gridCol w:w="2554"/>
        <w:gridCol w:w="1406"/>
      </w:tblGrid>
      <w:tr>
        <w:trPr>
          <w:trHeight w:val="994"/>
        </w:trPr>
        <w:tc>
          <w:tcPr>
            <w:tcW w:w="460" w:type="dxa"/>
            <w:vAlign w:val="center"/>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254" w:type="dxa"/>
            <w:vAlign w:val="center"/>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货物或服务名称</w:t>
            </w:r>
            <w:r/>
          </w:p>
        </w:tc>
        <w:tc>
          <w:tcPr>
            <w:tcW w:w="1095" w:type="dxa"/>
            <w:vAlign w:val="center"/>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磋商文件要求的商务条款</w:t>
            </w:r>
            <w:r/>
          </w:p>
        </w:tc>
        <w:tc>
          <w:tcPr>
            <w:tcW w:w="1413" w:type="dxa"/>
            <w:vAlign w:val="center"/>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响应文件响应情况</w:t>
            </w:r>
            <w:r/>
          </w:p>
        </w:tc>
        <w:tc>
          <w:tcPr>
            <w:tcW w:w="778" w:type="dxa"/>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偏离说明</w:t>
            </w:r>
            <w:r/>
          </w:p>
        </w:tc>
      </w:tr>
      <w:tr>
        <w:trPr>
          <w:trHeight w:val="540"/>
        </w:trPr>
        <w:tc>
          <w:tcPr>
            <w:tcW w:w="460" w:type="dxa"/>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254"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95"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3"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778" w:type="dxa"/>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8"/>
        </w:trPr>
        <w:tc>
          <w:tcPr>
            <w:tcW w:w="460" w:type="dxa"/>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254"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95"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3"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778" w:type="dxa"/>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7"/>
        </w:trPr>
        <w:tc>
          <w:tcPr>
            <w:tcW w:w="460" w:type="dxa"/>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254"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95"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3"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778" w:type="dxa"/>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93"/>
        </w:trPr>
        <w:tc>
          <w:tcPr>
            <w:tcW w:w="460" w:type="dxa"/>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254"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95"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3" w:type="dxa"/>
            <w:vAlign w:val="center"/>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778" w:type="dxa"/>
            <w:textDirection w:val="lrTb"/>
            <w:noWrap/>
          </w:tcPr>
          <w:p>
            <w:pPr>
              <w:jc w:val="left"/>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contextualSpacing/>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注：</w:t>
      </w:r>
      <w:r/>
    </w:p>
    <w:p>
      <w:pPr>
        <w:contextualSpacing/>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1.投标人提交的响应文件中与磋商文件第三部分“项目需求”中的商务部分的要求，应逐条填列在偏离表中。</w:t>
      </w:r>
      <w:r>
        <w:rPr>
          <w:rFonts w:hint="eastAsia" w:ascii="宋体" w:hAnsi="宋体" w:cs="宋体"/>
          <w:b/>
          <w:bCs/>
          <w:color w:val="000000"/>
          <w:sz w:val="24"/>
          <w:highlight w:val="none"/>
        </w:rPr>
        <w:t xml:space="preserve">如未明示的，视为完全响应本竞争性磋商文件要求。（本项目不接受负偏离）</w:t>
      </w:r>
      <w:r/>
    </w:p>
    <w:p>
      <w:pPr>
        <w:contextualSpacing/>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2.“偏离说</w:t>
      </w:r>
      <w:r>
        <w:rPr>
          <w:rFonts w:hint="eastAsia" w:ascii="宋体" w:hAnsi="宋体" w:cs="宋体"/>
          <w:bCs/>
          <w:color w:val="000000"/>
          <w:sz w:val="24"/>
          <w:highlight w:val="none"/>
        </w:rPr>
        <w:t xml:space="preserve">明”一栏选择“正偏离”、“无偏离”、“负偏离”进行填写。正偏离、无偏离的确</w:t>
      </w:r>
      <w:r>
        <w:rPr>
          <w:rFonts w:hint="eastAsia" w:ascii="宋体" w:hAnsi="宋体" w:cs="宋体"/>
          <w:color w:val="000000"/>
          <w:sz w:val="24"/>
          <w:highlight w:val="none"/>
        </w:rPr>
        <w:t xml:space="preserve">认和负偏离的是否响应磋商文件，由评委认定。</w:t>
      </w:r>
      <w:r/>
    </w:p>
    <w:p>
      <w:pPr>
        <w:contextualSpacing/>
        <w:ind w:firstLine="480"/>
        <w:spacing w:line="4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3.</w:t>
      </w:r>
      <w:r>
        <w:rPr>
          <w:rFonts w:hint="eastAsia" w:ascii="宋体" w:hAnsi="宋体" w:cs="宋体"/>
          <w:bCs/>
          <w:color w:val="000000"/>
          <w:sz w:val="24"/>
          <w:highlight w:val="none"/>
        </w:rPr>
        <w:t xml:space="preserve">供应商若提供其他增值服务，可以在表中自行据实填写。</w:t>
      </w:r>
      <w:r/>
    </w:p>
    <w:p>
      <w:pPr>
        <w:jc w:val="left"/>
        <w:spacing w:line="52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left"/>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t xml:space="preserve">附件8</w:t>
      </w:r>
      <w:r/>
    </w:p>
    <w:p>
      <w:pPr>
        <w:contextualSpacing/>
        <w:jc w:val="center"/>
        <w:spacing w:line="300" w:lineRule="auto"/>
        <w:rPr>
          <w:b/>
          <w:color w:val="000000"/>
          <w:sz w:val="32"/>
          <w:szCs w:val="32"/>
          <w:highlight w:val="none"/>
        </w:rPr>
      </w:pPr>
      <w:r>
        <w:rPr>
          <w:b/>
          <w:color w:val="000000"/>
          <w:sz w:val="32"/>
          <w:szCs w:val="32"/>
          <w:highlight w:val="none"/>
        </w:rPr>
        <w:t xml:space="preserve">技术部分正负偏离表</w:t>
      </w:r>
      <w:r/>
    </w:p>
    <w:p>
      <w:pPr>
        <w:ind w:firstLine="560"/>
        <w:jc w:val="center"/>
        <w:rPr>
          <w:color w:val="000000"/>
          <w:sz w:val="28"/>
          <w:szCs w:val="28"/>
          <w:highlight w:val="none"/>
        </w:rPr>
      </w:pPr>
      <w:r>
        <w:rPr>
          <w:color w:val="000000"/>
          <w:sz w:val="28"/>
          <w:szCs w:val="28"/>
          <w:highlight w:val="none"/>
        </w:rPr>
        <w:t xml:space="preserve">（由投标人据实填写，表格不够自行添加）</w:t>
      </w:r>
      <w:r/>
    </w:p>
    <w:tbl>
      <w:tblPr>
        <w:tblStyle w:val="67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266"/>
        <w:gridCol w:w="1979"/>
        <w:gridCol w:w="2554"/>
        <w:gridCol w:w="1406"/>
      </w:tblGrid>
      <w:tr>
        <w:trPr>
          <w:trHeight w:val="994"/>
        </w:trPr>
        <w:tc>
          <w:tcPr>
            <w:tcW w:w="460" w:type="dxa"/>
            <w:vAlign w:val="center"/>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254" w:type="dxa"/>
            <w:vAlign w:val="center"/>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货物或服务名称</w:t>
            </w:r>
            <w:r/>
          </w:p>
        </w:tc>
        <w:tc>
          <w:tcPr>
            <w:tcW w:w="1095" w:type="dxa"/>
            <w:vAlign w:val="center"/>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磋商文件要求的技术要求</w:t>
            </w:r>
            <w:r/>
          </w:p>
        </w:tc>
        <w:tc>
          <w:tcPr>
            <w:tcW w:w="1413" w:type="dxa"/>
            <w:vAlign w:val="center"/>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响应文件响应情况</w:t>
            </w:r>
            <w:r/>
          </w:p>
        </w:tc>
        <w:tc>
          <w:tcPr>
            <w:tcW w:w="778" w:type="dxa"/>
            <w:textDirection w:val="lrTb"/>
            <w:noWrap/>
          </w:tcPr>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偏离说明</w:t>
            </w:r>
            <w:r/>
          </w:p>
        </w:tc>
      </w:tr>
      <w:tr>
        <w:trPr>
          <w:trHeight w:val="574"/>
        </w:trPr>
        <w:tc>
          <w:tcPr>
            <w:tcW w:w="460" w:type="dxa"/>
            <w:textDirection w:val="lrTb"/>
            <w:noWrap/>
          </w:tcPr>
          <w:p>
            <w:pPr>
              <w:jc w:val="center"/>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p>
        </w:tc>
        <w:tc>
          <w:tcPr>
            <w:tcW w:w="1254"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95"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3"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778" w:type="dxa"/>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548"/>
        </w:trPr>
        <w:tc>
          <w:tcPr>
            <w:tcW w:w="460" w:type="dxa"/>
            <w:textDirection w:val="lrTb"/>
            <w:noWrap/>
          </w:tcPr>
          <w:p>
            <w:pPr>
              <w:jc w:val="center"/>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r/>
          </w:p>
        </w:tc>
        <w:tc>
          <w:tcPr>
            <w:tcW w:w="1254"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95"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3"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778" w:type="dxa"/>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582"/>
        </w:trPr>
        <w:tc>
          <w:tcPr>
            <w:tcW w:w="460" w:type="dxa"/>
            <w:textDirection w:val="lrTb"/>
            <w:noWrap/>
          </w:tcPr>
          <w:p>
            <w:pPr>
              <w:jc w:val="center"/>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w:t>
            </w:r>
            <w:r/>
          </w:p>
        </w:tc>
        <w:tc>
          <w:tcPr>
            <w:tcW w:w="1254"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95"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3"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778" w:type="dxa"/>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605"/>
        </w:trPr>
        <w:tc>
          <w:tcPr>
            <w:tcW w:w="460" w:type="dxa"/>
            <w:textDirection w:val="lrTb"/>
            <w:noWrap/>
          </w:tcPr>
          <w:p>
            <w:pPr>
              <w:jc w:val="center"/>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w:t>
            </w:r>
            <w:r/>
          </w:p>
        </w:tc>
        <w:tc>
          <w:tcPr>
            <w:tcW w:w="1254"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95"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3" w:type="dxa"/>
            <w:vAlign w:val="center"/>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778" w:type="dxa"/>
            <w:textDirection w:val="lrTb"/>
            <w:noWrap/>
          </w:tcPr>
          <w:p>
            <w:pPr>
              <w:jc w:val="left"/>
              <w:spacing w:line="3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bl>
    <w:p>
      <w:pPr>
        <w:contextualSpacing/>
        <w:spacing w:line="30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注：</w:t>
      </w:r>
      <w:r/>
    </w:p>
    <w:p>
      <w:pPr>
        <w:contextualSpacing/>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1.投标人提交的响应文件中与磋商文件第三部分“项目需求”中的技术部分的要求，应逐条填列在偏离表中。</w:t>
      </w:r>
      <w:r>
        <w:rPr>
          <w:rFonts w:hint="eastAsia" w:ascii="宋体" w:hAnsi="宋体" w:cs="宋体"/>
          <w:b/>
          <w:bCs/>
          <w:color w:val="000000"/>
          <w:sz w:val="24"/>
          <w:highlight w:val="none"/>
        </w:rPr>
        <w:t xml:space="preserve">如未明示的，视为完全响应本竞争性磋商文件要求。（本项目不接受负偏离）</w:t>
      </w:r>
      <w:r/>
    </w:p>
    <w:p>
      <w:pPr>
        <w:contextualSpacing/>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 “偏离说明”一栏选择“正偏离”、“无偏离”、“负偏离”进行填写。正偏离、无偏离的确认和负偏离的是否响应磋商文件，由评委认定。</w:t>
      </w:r>
      <w:r/>
    </w:p>
    <w:p>
      <w:pPr>
        <w:contextualSpacing/>
        <w:ind w:firstLine="480"/>
        <w:spacing w:line="4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3.供应商若提供其他增值服务，可以在表中自行据实填写。</w:t>
      </w:r>
      <w:r/>
    </w:p>
    <w:p>
      <w:pPr>
        <w:spacing w:line="52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spacing w:line="420" w:lineRule="exact"/>
        <w:rPr>
          <w:rStyle w:val="790"/>
          <w:rFonts w:hint="eastAsia" w:ascii="宋体" w:hAnsi="宋体"/>
          <w:color w:val="000000"/>
          <w:highlight w:val="none"/>
        </w:rPr>
      </w:pPr>
      <w:r>
        <w:rPr>
          <w:rFonts w:hint="eastAsia" w:ascii="宋体" w:hAnsi="宋体" w:cs="宋体"/>
          <w:b/>
          <w:bCs/>
          <w:color w:val="000000"/>
          <w:sz w:val="32"/>
          <w:szCs w:val="32"/>
          <w:highlight w:val="none"/>
        </w:rPr>
        <w:br w:type="page" w:clear="all"/>
      </w:r>
      <w:r>
        <w:rPr>
          <w:rFonts w:hint="eastAsia" w:ascii="宋体" w:hAnsi="宋体" w:cs="宋体"/>
          <w:color w:val="000000"/>
          <w:sz w:val="32"/>
          <w:szCs w:val="32"/>
          <w:highlight w:val="none"/>
        </w:rPr>
        <w:t xml:space="preserve">附件9</w:t>
      </w:r>
      <w:r/>
    </w:p>
    <w:p>
      <w:pPr>
        <w:pStyle w:val="731"/>
        <w:jc w:val="center"/>
        <w:keepLines w:val="0"/>
        <w:keepNext w:val="0"/>
        <w:widowControl/>
        <w:rPr>
          <w:rFonts w:hint="eastAsia" w:ascii="宋体" w:hAnsi="宋体" w:eastAsia="宋体"/>
          <w:color w:val="000000"/>
          <w:highlight w:val="none"/>
        </w:rPr>
      </w:pPr>
      <w:r>
        <w:rPr>
          <w:rStyle w:val="790"/>
          <w:rFonts w:ascii="宋体" w:hAnsi="宋体"/>
          <w:color w:val="000000"/>
          <w:highlight w:val="none"/>
        </w:rPr>
        <w:t xml:space="preserve">磋商报价表</w:t>
      </w:r>
      <w:r/>
    </w:p>
    <w:p>
      <w:pPr>
        <w:pStyle w:val="782"/>
        <w:ind w:firstLine="480"/>
        <w:rPr>
          <w:rFonts w:hint="eastAsia"/>
          <w:color w:val="000000"/>
          <w:highlight w:val="none"/>
        </w:rPr>
      </w:pPr>
      <w:r>
        <w:rPr>
          <w:color w:val="000000"/>
          <w:highlight w:val="none"/>
        </w:rPr>
        <w:t xml:space="preserve">本次为首次报价</w:t>
      </w:r>
      <w:r>
        <w:rPr>
          <w:rFonts w:hint="eastAsia"/>
          <w:color w:val="000000"/>
          <w:highlight w:val="none"/>
        </w:rPr>
        <w:t xml:space="preserve">                           </w:t>
      </w:r>
      <w:r/>
    </w:p>
    <w:p>
      <w:pPr>
        <w:pStyle w:val="782"/>
        <w:rPr>
          <w:rFonts w:hint="eastAsia"/>
          <w:color w:val="000000"/>
          <w:highlight w:val="none"/>
        </w:rPr>
      </w:pPr>
      <w:r>
        <w:rPr>
          <w:rFonts w:hint="eastAsia"/>
          <w:color w:val="000000"/>
          <w:highlight w:val="none"/>
        </w:rPr>
      </w:r>
      <w:r/>
    </w:p>
    <w:p>
      <w:pPr>
        <w:pStyle w:val="782"/>
        <w:rPr>
          <w:rFonts w:hint="eastAsia"/>
          <w:color w:val="000000"/>
          <w:highlight w:val="none"/>
        </w:rPr>
      </w:pPr>
      <w:r>
        <w:rPr>
          <w:color w:val="000000"/>
          <w:highlight w:val="none"/>
        </w:rPr>
        <w:t xml:space="preserve">项目编号：</w:t>
      </w:r>
      <w:r>
        <w:rPr>
          <w:rFonts w:hint="eastAsia"/>
          <w:bCs/>
          <w:color w:val="000000"/>
          <w:highlight w:val="none"/>
          <w:u w:val="single"/>
        </w:rPr>
        <w:t xml:space="preserve"> </w:t>
      </w:r>
      <w:r>
        <w:rPr>
          <w:rFonts w:hint="eastAsia"/>
          <w:bCs/>
          <w:color w:val="000000"/>
          <w:highlight w:val="none"/>
          <w:u w:val="single"/>
          <w:lang w:eastAsia="zh-CN"/>
        </w:rPr>
        <w:t xml:space="preserve">JSZC-320600-NTWL-C2025-0026</w:t>
      </w:r>
      <w:r>
        <w:rPr>
          <w:rFonts w:hint="eastAsia"/>
          <w:bCs/>
          <w:color w:val="000000"/>
          <w:highlight w:val="none"/>
          <w:u w:val="single"/>
        </w:rPr>
        <w:t xml:space="preserve"> </w:t>
      </w:r>
      <w:r>
        <w:rPr>
          <w:rFonts w:hint="eastAsia"/>
          <w:color w:val="000000"/>
          <w:highlight w:val="none"/>
        </w:rPr>
        <w:t xml:space="preserve">     </w:t>
      </w:r>
      <w:r>
        <w:rPr>
          <w:rFonts w:hint="eastAsia"/>
          <w:color w:val="000000"/>
          <w:highlight w:val="none"/>
          <w:lang w:val="en-US" w:eastAsia="zh-CN"/>
        </w:rPr>
        <w:t xml:space="preserve"> </w:t>
      </w:r>
      <w:r>
        <w:rPr>
          <w:rFonts w:hint="eastAsia"/>
          <w:color w:val="000000"/>
          <w:highlight w:val="none"/>
        </w:rPr>
        <w:t xml:space="preserve">    </w:t>
      </w:r>
      <w:r>
        <w:rPr>
          <w:color w:val="000000"/>
          <w:highlight w:val="none"/>
        </w:rPr>
        <w:t xml:space="preserve">货币单位：人民币元</w:t>
      </w:r>
      <w:r/>
    </w:p>
    <w:tbl>
      <w:tblPr>
        <w:tblStyle w:val="78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380"/>
        <w:gridCol w:w="2574"/>
        <w:gridCol w:w="3383"/>
      </w:tblGrid>
      <w:tr>
        <w:trPr/>
        <w:tc>
          <w:tcPr>
            <w:tcMar>
              <w:left w:w="15" w:type="dxa"/>
              <w:top w:w="15" w:type="dxa"/>
              <w:right w:w="15" w:type="dxa"/>
              <w:bottom w:w="15" w:type="dxa"/>
            </w:tcMar>
            <w:tcW w:w="2380" w:type="dxa"/>
            <w:vAlign w:val="center"/>
            <w:textDirection w:val="lrTb"/>
            <w:noWrap/>
          </w:tcPr>
          <w:p>
            <w:pPr>
              <w:jc w:val="center"/>
              <w:spacing w:before="100" w:after="1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p>
        </w:tc>
        <w:tc>
          <w:tcPr>
            <w:tcMar>
              <w:left w:w="15" w:type="dxa"/>
              <w:top w:w="15" w:type="dxa"/>
              <w:right w:w="15" w:type="dxa"/>
              <w:bottom w:w="15" w:type="dxa"/>
            </w:tcMar>
            <w:tcW w:w="2574" w:type="dxa"/>
            <w:vAlign w:val="center"/>
            <w:textDirection w:val="lrTb"/>
            <w:noWrap/>
          </w:tcPr>
          <w:p>
            <w:pPr>
              <w:jc w:val="center"/>
              <w:spacing w:before="100" w:after="1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项目内容</w:t>
            </w:r>
            <w:r/>
          </w:p>
        </w:tc>
        <w:tc>
          <w:tcPr>
            <w:tcMar>
              <w:left w:w="15" w:type="dxa"/>
              <w:top w:w="15" w:type="dxa"/>
              <w:right w:w="15" w:type="dxa"/>
              <w:bottom w:w="15" w:type="dxa"/>
            </w:tcMar>
            <w:tcW w:w="3383" w:type="dxa"/>
            <w:vAlign w:val="center"/>
            <w:textDirection w:val="lrTb"/>
            <w:noWrap/>
          </w:tcPr>
          <w:p>
            <w:pPr>
              <w:jc w:val="center"/>
              <w:spacing w:before="100" w:after="1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总价（小写）</w:t>
            </w:r>
            <w:r/>
          </w:p>
        </w:tc>
      </w:tr>
      <w:tr>
        <w:trPr/>
        <w:tc>
          <w:tcPr>
            <w:tcMar>
              <w:left w:w="15" w:type="dxa"/>
              <w:top w:w="15" w:type="dxa"/>
              <w:right w:w="15" w:type="dxa"/>
              <w:bottom w:w="15" w:type="dxa"/>
            </w:tcMar>
            <w:tcW w:w="2380" w:type="dxa"/>
            <w:vAlign w:val="center"/>
            <w:textDirection w:val="lrTb"/>
            <w:noWrap/>
          </w:tcPr>
          <w:p>
            <w:pPr>
              <w:jc w:val="center"/>
              <w:spacing w:before="100" w:after="10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5" w:type="dxa"/>
              <w:top w:w="15" w:type="dxa"/>
              <w:right w:w="15" w:type="dxa"/>
              <w:bottom w:w="15" w:type="dxa"/>
            </w:tcMar>
            <w:tcW w:w="2574" w:type="dxa"/>
            <w:vAlign w:val="center"/>
            <w:textDirection w:val="lrTb"/>
            <w:noWrap/>
          </w:tcPr>
          <w:p>
            <w:pPr>
              <w:jc w:val="center"/>
              <w:spacing w:before="100" w:after="1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详见响应文件</w:t>
            </w:r>
            <w:r/>
          </w:p>
        </w:tc>
        <w:tc>
          <w:tcPr>
            <w:tcMar>
              <w:left w:w="15" w:type="dxa"/>
              <w:top w:w="15" w:type="dxa"/>
              <w:right w:w="15" w:type="dxa"/>
              <w:bottom w:w="15" w:type="dxa"/>
            </w:tcMar>
            <w:tcW w:w="3383" w:type="dxa"/>
            <w:vAlign w:val="center"/>
            <w:textDirection w:val="lrTb"/>
            <w:noWrap/>
          </w:tcPr>
          <w:p>
            <w:pPr>
              <w:ind w:firstLine="240"/>
              <w:spacing w:before="100" w:after="1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元</w:t>
            </w:r>
            <w:r/>
          </w:p>
        </w:tc>
      </w:tr>
      <w:tr>
        <w:trPr/>
        <w:tc>
          <w:tcPr>
            <w:tcMar>
              <w:left w:w="15" w:type="dxa"/>
              <w:top w:w="15" w:type="dxa"/>
              <w:right w:w="15" w:type="dxa"/>
              <w:bottom w:w="15" w:type="dxa"/>
            </w:tcMar>
            <w:tcW w:w="2380" w:type="dxa"/>
            <w:vAlign w:val="center"/>
            <w:textDirection w:val="lrTb"/>
            <w:noWrap/>
          </w:tcPr>
          <w:p>
            <w:pPr>
              <w:jc w:val="center"/>
              <w:spacing w:before="100" w:after="1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总价（大写）</w:t>
            </w:r>
            <w:r/>
          </w:p>
        </w:tc>
        <w:tc>
          <w:tcPr>
            <w:gridSpan w:val="2"/>
            <w:tcMar>
              <w:left w:w="15" w:type="dxa"/>
              <w:top w:w="15" w:type="dxa"/>
              <w:right w:w="15" w:type="dxa"/>
              <w:bottom w:w="15" w:type="dxa"/>
            </w:tcMar>
            <w:tcW w:w="5957" w:type="dxa"/>
            <w:vAlign w:val="center"/>
            <w:textDirection w:val="lrTb"/>
            <w:noWrap/>
          </w:tcPr>
          <w:p>
            <w:pPr>
              <w:spacing w:before="100" w:after="100"/>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金额</w:t>
            </w:r>
            <w:r>
              <w:rPr>
                <w:rFonts w:ascii="宋体" w:hAnsi="宋体" w:cs="宋体"/>
                <w:color w:val="000000"/>
                <w:sz w:val="24"/>
                <w:highlight w:val="none"/>
              </w:rPr>
              <w:t xml:space="preserve">大写</w:t>
            </w:r>
            <w:r>
              <w:rPr>
                <w:rFonts w:hint="eastAsia" w:ascii="宋体" w:hAnsi="宋体" w:cs="宋体"/>
                <w:color w:val="000000"/>
                <w:sz w:val="24"/>
                <w:highlight w:val="none"/>
              </w:rPr>
              <w:t xml:space="preserve">：</w:t>
            </w:r>
            <w:r/>
          </w:p>
        </w:tc>
      </w:tr>
    </w:tbl>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供应商：（盖章）</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法定代表人或被授权人（签字或盖章）：</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w:t>
      </w:r>
      <w:r/>
    </w:p>
    <w:p>
      <w:pPr>
        <w:spacing w:line="4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1、本表为格式表，不得自行改动，必须提供。</w:t>
      </w:r>
      <w:r/>
    </w:p>
    <w:p>
      <w:pPr>
        <w:numPr>
          <w:ilvl w:val="0"/>
          <w:numId w:val="3"/>
        </w:numPr>
        <w:ind w:firstLine="494"/>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响应文件提交时只需填写磋商报价表（首次总价报价），第二次报价（即最终报价）将在开标现场线上填写。且最终报价时，最终投标报价不得高于各自首次投标报价。</w:t>
      </w:r>
      <w:r/>
    </w:p>
    <w:p>
      <w:pPr>
        <w:numPr>
          <w:ilvl w:val="0"/>
          <w:numId w:val="3"/>
        </w:numPr>
        <w:ind w:firstLine="496"/>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请各单位注意填写完整，否则可能导致响应文件无法生成或其他未知错误，由此引起的一切后果由供应商自行承担。</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color w:val="000000"/>
          <w:sz w:val="28"/>
          <w:szCs w:val="28"/>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t xml:space="preserve">附件10</w:t>
      </w:r>
      <w:r/>
    </w:p>
    <w:p>
      <w:pPr>
        <w:jc w:val="center"/>
        <w:rPr>
          <w:rStyle w:val="790"/>
          <w:rFonts w:hint="eastAsia" w:ascii="宋体" w:hAnsi="宋体" w:eastAsia="宋体" w:cs="Times New Roman"/>
          <w:color w:val="000000"/>
          <w:sz w:val="34"/>
          <w:szCs w:val="20"/>
          <w:highlight w:val="none"/>
          <w:lang w:val="en-US" w:eastAsia="zh-CN" w:bidi="ar-SA"/>
        </w:rPr>
      </w:pPr>
      <w:r>
        <w:rPr>
          <w:rStyle w:val="790"/>
          <w:rFonts w:hint="eastAsia" w:ascii="宋体" w:hAnsi="宋体" w:eastAsia="宋体" w:cs="Times New Roman"/>
          <w:color w:val="000000"/>
          <w:sz w:val="34"/>
          <w:szCs w:val="20"/>
          <w:highlight w:val="none"/>
          <w:lang w:val="en-US" w:eastAsia="zh-CN" w:bidi="ar-SA"/>
        </w:rPr>
        <w:t xml:space="preserve">已标价工程量清单</w:t>
      </w:r>
      <w:r/>
    </w:p>
    <w:p>
      <w:pPr>
        <w:spacing w:line="30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r>
      <w:r/>
    </w:p>
    <w:p>
      <w:pPr>
        <w:ind w:firstLine="480"/>
        <w:spacing w:line="300" w:lineRule="auto"/>
        <w:rPr>
          <w:rFonts w:hint="eastAsia" w:ascii="宋体" w:hAnsi="宋体" w:cs="宋体"/>
          <w:bCs/>
          <w:color w:val="000000"/>
          <w:sz w:val="24"/>
          <w:highlight w:val="none"/>
          <w:lang w:val="zh-CN"/>
        </w:rPr>
        <w:outlineLvl w:val="0"/>
      </w:pPr>
      <w:r>
        <w:rPr>
          <w:rFonts w:hint="eastAsia" w:ascii="宋体" w:hAnsi="宋体" w:cs="宋体"/>
          <w:bCs/>
          <w:color w:val="000000"/>
          <w:sz w:val="24"/>
          <w:highlight w:val="none"/>
          <w:lang w:val="zh-CN"/>
        </w:rPr>
        <w:t xml:space="preserve">已标价工程量清单：投标总价、总说明、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清单与计价表等。</w:t>
      </w:r>
      <w:r/>
    </w:p>
    <w:p>
      <w:pPr>
        <w:spacing w:line="30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r>
      <w:r/>
    </w:p>
    <w:p>
      <w:pPr>
        <w:jc w:val="left"/>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特别注意：</w:t>
      </w:r>
      <w:r/>
    </w:p>
    <w:p>
      <w:pPr>
        <w:ind w:firstLine="482"/>
        <w:jc w:val="left"/>
        <w:spacing w:line="360" w:lineRule="auto"/>
        <w:rPr>
          <w:rFonts w:hint="eastAsia" w:ascii="宋体" w:hAnsi="宋体" w:cs="宋体"/>
          <w:b/>
          <w:color w:val="000000"/>
          <w:sz w:val="24"/>
          <w:highlight w:val="none"/>
          <w:lang w:val="zh-CN"/>
        </w:rPr>
        <w:outlineLvl w:val="0"/>
      </w:pPr>
      <w:r>
        <w:rPr>
          <w:rFonts w:hint="eastAsia" w:ascii="宋体" w:hAnsi="宋体" w:cs="宋体"/>
          <w:b/>
          <w:color w:val="000000"/>
          <w:sz w:val="24"/>
          <w:highlight w:val="none"/>
          <w:lang w:val="zh-CN"/>
        </w:rPr>
        <w:t xml:space="preserve">第二次报价即最终报价将在磋商当天填写，最终报价不得高于</w:t>
      </w:r>
      <w:r>
        <w:rPr>
          <w:rFonts w:hint="eastAsia" w:ascii="宋体" w:hAnsi="宋体" w:cs="宋体"/>
          <w:b/>
          <w:color w:val="000000"/>
          <w:sz w:val="24"/>
          <w:highlight w:val="none"/>
        </w:rPr>
        <w:t xml:space="preserve">各自</w:t>
      </w:r>
      <w:r>
        <w:rPr>
          <w:rFonts w:hint="eastAsia" w:ascii="宋体" w:hAnsi="宋体" w:cs="宋体"/>
          <w:b/>
          <w:color w:val="000000"/>
          <w:sz w:val="24"/>
          <w:highlight w:val="none"/>
          <w:lang w:val="zh-CN"/>
        </w:rPr>
        <w:t xml:space="preserve">首次报价。</w:t>
      </w:r>
      <w:r>
        <w:rPr>
          <w:rFonts w:hint="eastAsia" w:ascii="宋体" w:hAnsi="宋体" w:cs="宋体"/>
          <w:b/>
          <w:color w:val="000000"/>
          <w:sz w:val="24"/>
          <w:highlight w:val="none"/>
        </w:rPr>
        <w:t xml:space="preserve">结算时已标价工程量清单中单价计算原则：</w:t>
      </w:r>
      <w:r>
        <w:rPr>
          <w:rFonts w:hint="eastAsia" w:ascii="宋体" w:hAnsi="宋体" w:cs="宋体"/>
          <w:b/>
          <w:color w:val="000000"/>
          <w:sz w:val="24"/>
          <w:highlight w:val="none"/>
          <w:lang w:val="zh-CN"/>
        </w:rPr>
        <w:t xml:space="preserve">以</w:t>
      </w:r>
      <w:r>
        <w:rPr>
          <w:rFonts w:hint="eastAsia" w:ascii="宋体" w:hAnsi="宋体" w:cs="宋体"/>
          <w:b/>
          <w:color w:val="000000"/>
          <w:sz w:val="24"/>
          <w:highlight w:val="none"/>
        </w:rPr>
        <w:t xml:space="preserve">首次</w:t>
      </w:r>
      <w:r>
        <w:rPr>
          <w:rFonts w:hint="eastAsia" w:ascii="宋体" w:hAnsi="宋体" w:cs="宋体"/>
          <w:b/>
          <w:color w:val="000000"/>
          <w:sz w:val="24"/>
          <w:highlight w:val="none"/>
          <w:lang w:val="zh-CN"/>
        </w:rPr>
        <w:t xml:space="preserve">报价的清单</w:t>
      </w:r>
      <w:r>
        <w:rPr>
          <w:rFonts w:hint="eastAsia" w:ascii="宋体" w:hAnsi="宋体" w:cs="宋体"/>
          <w:b/>
          <w:color w:val="000000"/>
          <w:sz w:val="24"/>
          <w:highlight w:val="none"/>
        </w:rPr>
        <w:t xml:space="preserve">单价</w:t>
      </w:r>
      <w:r>
        <w:rPr>
          <w:rFonts w:hint="eastAsia" w:ascii="宋体" w:hAnsi="宋体" w:cs="宋体"/>
          <w:b/>
          <w:color w:val="000000"/>
          <w:sz w:val="24"/>
          <w:highlight w:val="none"/>
          <w:lang w:val="zh-CN"/>
        </w:rPr>
        <w:t xml:space="preserve">为</w:t>
      </w:r>
      <w:r>
        <w:rPr>
          <w:rFonts w:hint="eastAsia" w:ascii="宋体" w:hAnsi="宋体" w:cs="宋体"/>
          <w:b/>
          <w:color w:val="000000"/>
          <w:sz w:val="24"/>
          <w:highlight w:val="none"/>
        </w:rPr>
        <w:t xml:space="preserve">基数</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rPr>
        <w:t xml:space="preserve">根据最终报价</w:t>
      </w:r>
      <w:r>
        <w:rPr>
          <w:rFonts w:hint="eastAsia" w:ascii="宋体" w:hAnsi="宋体" w:cs="宋体"/>
          <w:b/>
          <w:color w:val="000000"/>
          <w:sz w:val="24"/>
          <w:highlight w:val="none"/>
          <w:lang w:val="zh-CN"/>
        </w:rPr>
        <w:t xml:space="preserve">总价与</w:t>
      </w:r>
      <w:r>
        <w:rPr>
          <w:rFonts w:hint="eastAsia" w:ascii="宋体" w:hAnsi="宋体" w:cs="宋体"/>
          <w:b/>
          <w:color w:val="000000"/>
          <w:sz w:val="24"/>
          <w:highlight w:val="none"/>
        </w:rPr>
        <w:t xml:space="preserve">首次</w:t>
      </w:r>
      <w:r>
        <w:rPr>
          <w:rFonts w:hint="eastAsia" w:ascii="宋体" w:hAnsi="宋体" w:cs="宋体"/>
          <w:b/>
          <w:color w:val="000000"/>
          <w:sz w:val="24"/>
          <w:highlight w:val="none"/>
          <w:lang w:val="zh-CN"/>
        </w:rPr>
        <w:t xml:space="preserve">报价</w:t>
      </w:r>
      <w:r>
        <w:rPr>
          <w:rFonts w:hint="eastAsia" w:ascii="宋体" w:hAnsi="宋体" w:cs="宋体"/>
          <w:b/>
          <w:color w:val="000000"/>
          <w:sz w:val="24"/>
          <w:highlight w:val="none"/>
        </w:rPr>
        <w:t xml:space="preserve">总价</w:t>
      </w:r>
      <w:r>
        <w:rPr>
          <w:rFonts w:hint="eastAsia" w:ascii="宋体" w:hAnsi="宋体" w:cs="宋体"/>
          <w:b/>
          <w:color w:val="000000"/>
          <w:sz w:val="24"/>
          <w:highlight w:val="none"/>
          <w:lang w:val="zh-CN"/>
        </w:rPr>
        <w:t xml:space="preserve">的</w:t>
      </w:r>
      <w:r>
        <w:rPr>
          <w:rFonts w:hint="eastAsia" w:ascii="宋体" w:hAnsi="宋体" w:cs="宋体"/>
          <w:b/>
          <w:color w:val="000000"/>
          <w:sz w:val="24"/>
          <w:highlight w:val="none"/>
        </w:rPr>
        <w:t xml:space="preserve">下浮比例进行同比例下浮，</w:t>
      </w:r>
      <w:r>
        <w:rPr>
          <w:rFonts w:hint="eastAsia" w:ascii="宋体" w:hAnsi="宋体" w:cs="宋体"/>
          <w:b/>
          <w:color w:val="000000"/>
          <w:sz w:val="24"/>
          <w:highlight w:val="none"/>
          <w:lang w:val="zh-CN"/>
        </w:rPr>
        <w:t xml:space="preserve">其中清单工程量保持不变，具体计算公式如下：</w:t>
      </w:r>
      <w:r/>
    </w:p>
    <w:p>
      <w:pPr>
        <w:ind w:firstLine="482"/>
        <w:jc w:val="left"/>
        <w:spacing w:line="360" w:lineRule="auto"/>
        <w:rPr>
          <w:rFonts w:hint="eastAsia" w:ascii="宋体" w:hAnsi="宋体" w:cs="宋体"/>
          <w:b/>
          <w:color w:val="000000"/>
          <w:sz w:val="24"/>
          <w:highlight w:val="none"/>
          <w:lang w:val="zh-CN"/>
        </w:rPr>
        <w:outlineLvl w:val="0"/>
      </w:pPr>
      <w:r>
        <w:rPr>
          <w:rFonts w:hint="eastAsia" w:ascii="宋体" w:hAnsi="宋体" w:cs="宋体"/>
          <w:b/>
          <w:color w:val="000000"/>
          <w:sz w:val="24"/>
          <w:highlight w:val="none"/>
          <w:lang w:val="zh-CN"/>
        </w:rPr>
        <w:t xml:space="preserve">最终单价=首次单价*（1-下浮率）</w:t>
      </w:r>
      <w:r/>
    </w:p>
    <w:p>
      <w:pPr>
        <w:ind w:firstLine="482"/>
        <w:jc w:val="left"/>
        <w:spacing w:line="360" w:lineRule="auto"/>
        <w:rPr>
          <w:rFonts w:hint="eastAsia" w:ascii="宋体" w:hAnsi="宋体" w:cs="宋体"/>
          <w:b/>
          <w:color w:val="000000"/>
          <w:sz w:val="24"/>
          <w:highlight w:val="none"/>
          <w:lang w:val="zh-CN"/>
        </w:rPr>
        <w:outlineLvl w:val="0"/>
      </w:pPr>
      <w:r>
        <w:rPr>
          <w:rFonts w:hint="eastAsia" w:ascii="宋体" w:hAnsi="宋体" w:cs="宋体"/>
          <w:b/>
          <w:color w:val="000000"/>
          <w:sz w:val="24"/>
          <w:highlight w:val="none"/>
          <w:lang w:val="zh-CN"/>
        </w:rPr>
        <w:t xml:space="preserve">下浮率=[1-最后报价总价/首次报价总价]*100%</w:t>
      </w:r>
      <w:r/>
    </w:p>
    <w:p>
      <w:pPr>
        <w:ind w:firstLine="482"/>
        <w:jc w:val="left"/>
        <w:spacing w:line="360" w:lineRule="auto"/>
        <w:rPr>
          <w:rFonts w:hint="eastAsia" w:ascii="宋体" w:hAnsi="宋体" w:cs="宋体"/>
          <w:b/>
          <w:color w:val="000000"/>
          <w:sz w:val="24"/>
          <w:highlight w:val="none"/>
          <w:lang w:val="zh-CN"/>
        </w:rPr>
        <w:outlineLvl w:val="0"/>
      </w:pPr>
      <w:r>
        <w:rPr>
          <w:rFonts w:hint="eastAsia" w:ascii="宋体" w:hAnsi="宋体" w:cs="宋体"/>
          <w:b/>
          <w:color w:val="000000"/>
          <w:sz w:val="24"/>
          <w:highlight w:val="none"/>
          <w:lang w:val="zh-CN"/>
        </w:rPr>
        <w:t xml:space="preserve">注：不可竞争费用</w:t>
      </w:r>
      <w:r>
        <w:rPr>
          <w:rFonts w:hint="eastAsia" w:ascii="宋体" w:hAnsi="宋体" w:cs="宋体"/>
          <w:b/>
          <w:color w:val="000000"/>
          <w:sz w:val="24"/>
          <w:highlight w:val="none"/>
        </w:rPr>
        <w:t xml:space="preserve">不参与下浮计算</w:t>
      </w:r>
      <w:r>
        <w:rPr>
          <w:rFonts w:hint="eastAsia" w:ascii="宋体" w:hAnsi="宋体" w:cs="宋体"/>
          <w:b/>
          <w:color w:val="000000"/>
          <w:sz w:val="24"/>
          <w:highlight w:val="none"/>
          <w:lang w:val="zh-CN"/>
        </w:rPr>
        <w:t xml:space="preserve">。</w:t>
      </w:r>
      <w:r/>
    </w:p>
    <w:p>
      <w:pPr>
        <w:spacing w:line="30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r>
      <w:r/>
    </w:p>
    <w:p>
      <w:pPr>
        <w:spacing w:line="30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r>
      <w:r/>
    </w:p>
    <w:p>
      <w:pPr>
        <w:spacing w:line="30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r>
      <w:r/>
    </w:p>
    <w:p>
      <w:pPr>
        <w:spacing w:line="30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r>
      <w:r/>
    </w:p>
    <w:p>
      <w:pPr>
        <w:spacing w:line="300" w:lineRule="auto"/>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r>
      <w:r/>
    </w:p>
    <w:p>
      <w:pPr>
        <w:rPr>
          <w:rFonts w:hint="eastAsia" w:ascii="宋体" w:hAnsi="宋体" w:cs="宋体"/>
          <w:color w:val="000000"/>
          <w:sz w:val="28"/>
          <w:szCs w:val="28"/>
          <w:highlight w:val="none"/>
          <w:lang w:bidi="zh-CN"/>
        </w:rPr>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t xml:space="preserve">附件11</w:t>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jc w:val="center"/>
        <w:spacing w:line="300" w:lineRule="auto"/>
        <w:rPr>
          <w:rFonts w:hint="eastAsia" w:ascii="宋体" w:hAnsi="宋体" w:cs="宋体"/>
          <w:b/>
          <w:bCs/>
          <w:color w:val="000000"/>
          <w:sz w:val="28"/>
          <w:szCs w:val="28"/>
          <w:highlight w:val="none"/>
          <w:lang w:bidi="zh-CN"/>
        </w:rPr>
        <w:outlineLvl w:val="0"/>
      </w:pPr>
      <w:r>
        <w:rPr>
          <w:rFonts w:hint="eastAsia" w:ascii="宋体" w:hAnsi="宋体" w:cs="宋体"/>
          <w:b/>
          <w:bCs/>
          <w:color w:val="000000"/>
          <w:sz w:val="28"/>
          <w:szCs w:val="28"/>
          <w:highlight w:val="none"/>
          <w:lang w:bidi="zh-CN"/>
        </w:rPr>
        <w:t xml:space="preserve">中小企业声明函（工程）</w:t>
      </w:r>
      <w:r/>
    </w:p>
    <w:p>
      <w:pPr>
        <w:ind w:firstLine="480"/>
        <w:jc w:val="left"/>
        <w:spacing w:line="460" w:lineRule="exact"/>
        <w:rPr>
          <w:rFonts w:hint="eastAsia" w:ascii="宋体" w:hAnsi="宋体" w:cs="宋体"/>
          <w:color w:val="000000"/>
          <w:sz w:val="24"/>
          <w:highlight w:val="none"/>
          <w:lang w:bidi="zh-CN"/>
        </w:rPr>
      </w:pPr>
      <w:r>
        <w:rPr>
          <w:rFonts w:hint="eastAsia" w:ascii="宋体" w:hAnsi="宋体" w:cs="宋体"/>
          <w:color w:val="000000"/>
          <w:sz w:val="24"/>
          <w:highlight w:val="none"/>
          <w:lang w:bidi="zh-CN"/>
        </w:rPr>
      </w:r>
      <w:r/>
    </w:p>
    <w:p>
      <w:pPr>
        <w:ind w:firstLine="480"/>
        <w:jc w:val="left"/>
        <w:spacing w:line="460" w:lineRule="exact"/>
        <w:rPr>
          <w:rFonts w:hint="eastAsia" w:ascii="宋体" w:hAnsi="宋体" w:cs="宋体"/>
          <w:color w:val="000000"/>
          <w:sz w:val="24"/>
          <w:highlight w:val="none"/>
          <w:lang w:bidi="zh-CN"/>
        </w:rPr>
      </w:pPr>
      <w:r>
        <w:rPr>
          <w:rFonts w:hint="eastAsia" w:ascii="宋体" w:hAnsi="宋体" w:cs="宋体"/>
          <w:color w:val="000000"/>
          <w:sz w:val="24"/>
          <w:highlight w:val="none"/>
          <w:lang w:bidi="zh-CN"/>
        </w:rPr>
        <w:t xml:space="preserve">本公司郑重声明，根据《政府采购促进中小企业发展管理办法》（财库﹝2020﹞46 号）的规定，本公司参加</w:t>
      </w:r>
      <w:r>
        <w:rPr>
          <w:rFonts w:hint="eastAsia" w:ascii="宋体" w:hAnsi="宋体" w:cs="宋体"/>
          <w:color w:val="000000"/>
          <w:sz w:val="24"/>
          <w:highlight w:val="none"/>
          <w:u w:val="single"/>
          <w:lang w:bidi="zh-CN"/>
        </w:rPr>
        <w:t xml:space="preserve">南通市妇幼保健院</w:t>
      </w:r>
      <w:r>
        <w:rPr>
          <w:rFonts w:hint="eastAsia" w:ascii="宋体" w:hAnsi="宋体" w:cs="宋体"/>
          <w:color w:val="000000"/>
          <w:sz w:val="24"/>
          <w:highlight w:val="none"/>
          <w:lang w:bidi="zh-CN"/>
        </w:rPr>
        <w:t xml:space="preserve">的</w:t>
      </w:r>
      <w:r>
        <w:rPr>
          <w:rFonts w:hint="eastAsia" w:ascii="宋体" w:hAnsi="宋体" w:cs="宋体"/>
          <w:color w:val="000000"/>
          <w:sz w:val="24"/>
          <w:highlight w:val="none"/>
          <w:u w:val="single"/>
          <w:lang w:bidi="zh-CN"/>
        </w:rPr>
        <w:t xml:space="preserve">南通市妇幼保健院口腔科扩建工程</w:t>
      </w:r>
      <w:r>
        <w:rPr>
          <w:rFonts w:hint="eastAsia" w:ascii="宋体" w:hAnsi="宋体" w:cs="宋体"/>
          <w:color w:val="000000"/>
          <w:sz w:val="24"/>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460" w:lineRule="exact"/>
        <w:rPr>
          <w:rFonts w:hint="eastAsia" w:ascii="宋体" w:hAnsi="宋体" w:cs="宋体"/>
          <w:color w:val="000000"/>
          <w:sz w:val="24"/>
          <w:highlight w:val="none"/>
          <w:lang w:bidi="zh-CN"/>
        </w:rPr>
      </w:pPr>
      <w:r>
        <w:rPr>
          <w:rFonts w:hint="eastAsia" w:ascii="宋体" w:hAnsi="宋体" w:cs="宋体"/>
          <w:color w:val="000000"/>
          <w:sz w:val="24"/>
          <w:highlight w:val="none"/>
          <w:u w:val="single"/>
          <w:lang w:bidi="zh-CN"/>
        </w:rPr>
        <w:t xml:space="preserve">南通市妇幼保健院口腔科扩建工程施工</w:t>
      </w:r>
      <w:r>
        <w:rPr>
          <w:rFonts w:hint="eastAsia" w:ascii="宋体" w:hAnsi="宋体" w:cs="宋体"/>
          <w:color w:val="000000"/>
          <w:sz w:val="24"/>
          <w:highlight w:val="none"/>
          <w:lang w:bidi="zh-CN"/>
        </w:rPr>
        <w:t xml:space="preserve">，属于</w:t>
      </w:r>
      <w:r>
        <w:rPr>
          <w:rFonts w:hint="eastAsia" w:ascii="宋体" w:hAnsi="宋体" w:cs="宋体"/>
          <w:color w:val="000000"/>
          <w:sz w:val="24"/>
          <w:highlight w:val="none"/>
          <w:u w:val="single"/>
          <w:lang w:bidi="zh-CN"/>
        </w:rPr>
        <w:t xml:space="preserve">建筑业</w:t>
      </w:r>
      <w:r>
        <w:rPr>
          <w:rFonts w:hint="eastAsia" w:ascii="宋体" w:hAnsi="宋体" w:cs="宋体"/>
          <w:color w:val="000000"/>
          <w:sz w:val="24"/>
          <w:highlight w:val="none"/>
          <w:lang w:bidi="zh-CN"/>
        </w:rPr>
        <w:t xml:space="preserve">；承建（承接）企业为</w:t>
      </w:r>
      <w:r>
        <w:rPr>
          <w:rFonts w:hint="eastAsia" w:ascii="宋体" w:hAnsi="宋体" w:cs="宋体"/>
          <w:color w:val="000000"/>
          <w:sz w:val="24"/>
          <w:highlight w:val="none"/>
          <w:u w:val="single"/>
          <w:lang w:bidi="zh-CN"/>
        </w:rPr>
        <w:t xml:space="preserve">    （企业名称）       </w:t>
      </w:r>
      <w:r>
        <w:rPr>
          <w:rFonts w:hint="eastAsia" w:ascii="宋体" w:hAnsi="宋体" w:cs="宋体"/>
          <w:color w:val="000000"/>
          <w:sz w:val="24"/>
          <w:highlight w:val="none"/>
          <w:lang w:bidi="zh-CN"/>
        </w:rPr>
        <w:t xml:space="preserve">，从业人员</w:t>
      </w:r>
      <w:r>
        <w:rPr>
          <w:rFonts w:hint="eastAsia" w:ascii="宋体" w:hAnsi="宋体" w:cs="宋体"/>
          <w:color w:val="000000"/>
          <w:sz w:val="24"/>
          <w:highlight w:val="none"/>
          <w:u w:val="single"/>
          <w:lang w:bidi="zh-CN"/>
        </w:rPr>
        <w:tab/>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lang w:bidi="zh-CN"/>
        </w:rPr>
        <w:t xml:space="preserve">人，营业收入为</w:t>
      </w:r>
      <w:r>
        <w:rPr>
          <w:rFonts w:hint="eastAsia" w:ascii="宋体" w:hAnsi="宋体" w:cs="宋体"/>
          <w:color w:val="000000"/>
          <w:sz w:val="24"/>
          <w:highlight w:val="none"/>
          <w:u w:val="single"/>
          <w:lang w:bidi="zh-CN"/>
        </w:rPr>
        <w:tab/>
      </w:r>
      <w:r>
        <w:rPr>
          <w:rFonts w:hint="eastAsia" w:ascii="宋体" w:hAnsi="宋体" w:cs="宋体"/>
          <w:color w:val="000000"/>
          <w:sz w:val="24"/>
          <w:highlight w:val="none"/>
          <w:u w:val="single"/>
          <w:lang w:bidi="zh-CN"/>
        </w:rPr>
        <w:t xml:space="preserve">     </w:t>
      </w:r>
      <w:r>
        <w:rPr>
          <w:rFonts w:hint="eastAsia" w:ascii="宋体" w:hAnsi="宋体" w:cs="宋体"/>
          <w:color w:val="000000"/>
          <w:sz w:val="24"/>
          <w:highlight w:val="none"/>
          <w:lang w:bidi="zh-CN"/>
        </w:rPr>
        <w:t xml:space="preserve">万元，资产总额为</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u w:val="single"/>
          <w:lang w:bidi="zh-CN"/>
        </w:rPr>
        <w:tab/>
      </w:r>
      <w:r>
        <w:rPr>
          <w:rFonts w:hint="eastAsia" w:ascii="宋体" w:hAnsi="宋体" w:cs="宋体"/>
          <w:color w:val="000000"/>
          <w:sz w:val="24"/>
          <w:highlight w:val="none"/>
          <w:lang w:bidi="zh-CN"/>
        </w:rPr>
        <w:t xml:space="preserve">万元，属于</w:t>
      </w:r>
      <w:r>
        <w:rPr>
          <w:rFonts w:hint="eastAsia" w:ascii="宋体" w:hAnsi="宋体" w:cs="宋体"/>
          <w:color w:val="000000"/>
          <w:sz w:val="24"/>
          <w:highlight w:val="none"/>
          <w:u w:val="single"/>
          <w:lang w:bidi="zh-CN"/>
        </w:rPr>
        <w:t xml:space="preserve">           （中型企业、小型企业、微型企业）</w:t>
      </w:r>
      <w:r>
        <w:rPr>
          <w:rFonts w:hint="eastAsia" w:ascii="宋体" w:hAnsi="宋体" w:cs="宋体"/>
          <w:color w:val="000000"/>
          <w:sz w:val="24"/>
          <w:highlight w:val="none"/>
          <w:lang w:bidi="zh-CN"/>
        </w:rPr>
        <w:t xml:space="preserve">；</w:t>
      </w:r>
      <w:r/>
    </w:p>
    <w:p>
      <w:pPr>
        <w:ind w:firstLine="480"/>
        <w:jc w:val="left"/>
        <w:spacing w:line="460" w:lineRule="exact"/>
        <w:rPr>
          <w:rFonts w:hint="eastAsia" w:ascii="宋体" w:hAnsi="宋体" w:cs="宋体"/>
          <w:color w:val="000000"/>
          <w:sz w:val="24"/>
          <w:highlight w:val="none"/>
          <w:lang w:bidi="zh-CN"/>
        </w:rPr>
      </w:pPr>
      <w:r>
        <w:rPr>
          <w:rFonts w:hint="eastAsia" w:ascii="宋体" w:hAnsi="宋体" w:cs="宋体"/>
          <w:color w:val="000000"/>
          <w:sz w:val="24"/>
          <w:highlight w:val="none"/>
          <w:lang w:bidi="zh-CN"/>
        </w:rPr>
        <w:t xml:space="preserve">以上企业，不属于大企业的分支机构，不存在控股股东为大企业的情形，也不存在与大企业的负责人为同一人的情形。</w:t>
      </w:r>
      <w:r/>
    </w:p>
    <w:p>
      <w:pPr>
        <w:ind w:firstLine="480"/>
        <w:jc w:val="left"/>
        <w:spacing w:line="460" w:lineRule="exact"/>
        <w:rPr>
          <w:rFonts w:hint="eastAsia" w:ascii="宋体" w:hAnsi="宋体" w:cs="宋体"/>
          <w:color w:val="000000"/>
          <w:sz w:val="24"/>
          <w:highlight w:val="none"/>
          <w:lang w:bidi="zh-CN"/>
        </w:rPr>
      </w:pPr>
      <w:r>
        <w:rPr>
          <w:rFonts w:hint="eastAsia" w:ascii="宋体" w:hAnsi="宋体" w:cs="宋体"/>
          <w:color w:val="000000"/>
          <w:sz w:val="24"/>
          <w:highlight w:val="none"/>
          <w:lang w:bidi="zh-CN"/>
        </w:rPr>
        <w:t xml:space="preserve">本企业对上述声明内容的真实性负责。如有虚假，将依法承担相应责任。</w:t>
      </w:r>
      <w:r/>
    </w:p>
    <w:p>
      <w:pPr>
        <w:jc w:val="left"/>
        <w:spacing w:line="460" w:lineRule="exact"/>
        <w:rPr>
          <w:rFonts w:hint="eastAsia" w:ascii="宋体" w:hAnsi="宋体" w:cs="宋体"/>
          <w:color w:val="000000"/>
          <w:sz w:val="24"/>
          <w:highlight w:val="none"/>
          <w:lang w:bidi="zh-CN"/>
        </w:rPr>
      </w:pPr>
      <w:r>
        <w:rPr>
          <w:rFonts w:hint="eastAsia" w:ascii="宋体" w:hAnsi="宋体" w:cs="宋体"/>
          <w:color w:val="000000"/>
          <w:sz w:val="24"/>
          <w:highlight w:val="none"/>
          <w:lang w:bidi="zh-CN"/>
        </w:rPr>
      </w:r>
      <w:r/>
    </w:p>
    <w:p>
      <w:pPr>
        <w:jc w:val="left"/>
        <w:spacing w:line="360" w:lineRule="auto"/>
        <w:rPr>
          <w:rFonts w:hint="eastAsia" w:ascii="宋体" w:hAnsi="宋体" w:cs="宋体"/>
          <w:color w:val="000000"/>
          <w:sz w:val="24"/>
          <w:highlight w:val="none"/>
          <w:lang w:bidi="zh-CN"/>
        </w:rPr>
      </w:pPr>
      <w:r>
        <w:rPr>
          <w:rFonts w:hint="eastAsia" w:ascii="宋体" w:hAnsi="宋体" w:cs="宋体"/>
          <w:color w:val="000000"/>
          <w:sz w:val="24"/>
          <w:highlight w:val="none"/>
          <w:lang w:bidi="zh-CN"/>
        </w:rPr>
        <w:t xml:space="preserve">竞争性磋商响应单位：</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lang w:bidi="zh-CN"/>
        </w:rPr>
        <w:t xml:space="preserve">（盖章）</w:t>
      </w:r>
      <w:r/>
    </w:p>
    <w:p>
      <w:pPr>
        <w:jc w:val="left"/>
        <w:spacing w:line="360" w:lineRule="auto"/>
        <w:rPr>
          <w:rFonts w:hint="eastAsia" w:ascii="宋体" w:hAnsi="宋体" w:cs="宋体"/>
          <w:color w:val="000000"/>
          <w:sz w:val="24"/>
          <w:highlight w:val="none"/>
          <w:lang w:bidi="zh-CN"/>
        </w:rPr>
      </w:pPr>
      <w:r>
        <w:rPr>
          <w:rFonts w:hint="eastAsia" w:ascii="宋体" w:hAnsi="宋体" w:cs="宋体"/>
          <w:color w:val="000000"/>
          <w:sz w:val="24"/>
          <w:highlight w:val="none"/>
          <w:lang w:bidi="zh-CN"/>
        </w:rPr>
        <w:t xml:space="preserve">法定代表人或委托代理人（签字或盖章）：</w:t>
      </w:r>
      <w:r>
        <w:rPr>
          <w:rFonts w:hint="eastAsia" w:ascii="宋体" w:hAnsi="宋体" w:cs="宋体"/>
          <w:bCs/>
          <w:color w:val="000000"/>
          <w:sz w:val="24"/>
          <w:highlight w:val="none"/>
          <w:u w:val="single"/>
        </w:rPr>
        <w:t xml:space="preserve">                       </w:t>
      </w:r>
      <w:r/>
    </w:p>
    <w:p>
      <w:pPr>
        <w:spacing w:line="360" w:lineRule="auto"/>
        <w:rPr>
          <w:rFonts w:hint="eastAsia" w:ascii="宋体" w:hAnsi="宋体" w:cs="宋体"/>
          <w:color w:val="000000"/>
          <w:sz w:val="18"/>
          <w:szCs w:val="18"/>
          <w:highlight w:val="none"/>
        </w:rPr>
        <w:outlineLvl w:val="0"/>
      </w:pPr>
      <w:r>
        <w:rPr>
          <w:rFonts w:hint="eastAsia" w:ascii="宋体" w:hAnsi="宋体" w:cs="宋体"/>
          <w:color w:val="000000"/>
          <w:sz w:val="24"/>
          <w:highlight w:val="none"/>
          <w:lang w:bidi="zh-CN"/>
        </w:rPr>
        <w:t xml:space="preserve">日期：</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lang w:bidi="zh-CN"/>
        </w:rPr>
        <w:t xml:space="preserve">年</w:t>
      </w:r>
      <w:r>
        <w:rPr>
          <w:rFonts w:hint="eastAsia" w:ascii="宋体" w:hAnsi="宋体" w:cs="宋体"/>
          <w:color w:val="000000"/>
          <w:sz w:val="24"/>
          <w:highlight w:val="none"/>
          <w:u w:val="single"/>
          <w:lang w:bidi="zh-CN"/>
        </w:rPr>
        <w:t xml:space="preserve">      </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lang w:bidi="zh-CN"/>
        </w:rPr>
        <w:t xml:space="preserve">月</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lang w:bidi="zh-CN"/>
        </w:rPr>
        <w:t xml:space="preserve">日</w:t>
      </w:r>
      <w:r/>
    </w:p>
    <w:p>
      <w:pPr>
        <w:ind w:firstLine="360"/>
        <w:spacing w:line="300" w:lineRule="auto"/>
        <w:rPr>
          <w:rFonts w:hint="eastAsia" w:ascii="宋体" w:hAnsi="宋体" w:cs="宋体"/>
          <w:color w:val="000000"/>
          <w:sz w:val="18"/>
          <w:szCs w:val="18"/>
          <w:highlight w:val="none"/>
        </w:rPr>
        <w:outlineLvl w:val="0"/>
      </w:pPr>
      <w:r>
        <w:rPr>
          <w:rFonts w:hint="eastAsia" w:ascii="宋体" w:hAnsi="宋体" w:cs="宋体"/>
          <w:color w:val="000000"/>
          <w:sz w:val="18"/>
          <w:szCs w:val="18"/>
          <w:highlight w:val="none"/>
        </w:rPr>
      </w:r>
      <w:r/>
    </w:p>
    <w:p>
      <w:pPr>
        <w:ind w:firstLine="360"/>
        <w:spacing w:line="300" w:lineRule="auto"/>
        <w:rPr>
          <w:rFonts w:hint="eastAsia" w:ascii="宋体" w:hAnsi="宋体" w:cs="宋体"/>
          <w:color w:val="000000"/>
          <w:sz w:val="18"/>
          <w:szCs w:val="18"/>
          <w:highlight w:val="none"/>
        </w:rPr>
        <w:outlineLvl w:val="0"/>
      </w:pPr>
      <w:r>
        <w:rPr>
          <w:rFonts w:hint="eastAsia" w:ascii="宋体" w:hAnsi="宋体" w:cs="宋体"/>
          <w:color w:val="000000"/>
          <w:sz w:val="18"/>
          <w:szCs w:val="18"/>
          <w:highlight w:val="none"/>
        </w:rPr>
      </w:r>
      <w:r/>
    </w:p>
    <w:p>
      <w:pPr>
        <w:ind w:firstLine="360"/>
        <w:spacing w:line="300" w:lineRule="auto"/>
        <w:rPr>
          <w:rFonts w:hint="eastAsia" w:ascii="宋体" w:hAnsi="宋体" w:cs="宋体"/>
          <w:color w:val="000000"/>
          <w:sz w:val="18"/>
          <w:szCs w:val="18"/>
          <w:highlight w:val="none"/>
        </w:rPr>
        <w:outlineLvl w:val="0"/>
      </w:pPr>
      <w:r>
        <w:rPr>
          <w:rFonts w:hint="eastAsia" w:ascii="宋体" w:hAnsi="宋体" w:cs="宋体"/>
          <w:color w:val="000000"/>
          <w:sz w:val="18"/>
          <w:szCs w:val="18"/>
          <w:highlight w:val="none"/>
        </w:rPr>
        <w:t xml:space="preserve">注：（1）参照《政府采购促进中小企业发展管理办法》（财库﹝2020﹞46 号）的第四条，本次采购的</w:t>
      </w:r>
      <w:r>
        <w:rPr>
          <w:rFonts w:hint="eastAsia" w:ascii="宋体" w:hAnsi="宋体" w:cs="宋体"/>
          <w:color w:val="000000"/>
          <w:sz w:val="18"/>
          <w:szCs w:val="18"/>
          <w:highlight w:val="none"/>
          <w:u w:val="single"/>
        </w:rPr>
        <w:t xml:space="preserve"> 工程 </w:t>
      </w:r>
      <w:r>
        <w:rPr>
          <w:rFonts w:hint="eastAsia" w:ascii="宋体" w:hAnsi="宋体" w:cs="宋体"/>
          <w:color w:val="000000"/>
          <w:sz w:val="18"/>
          <w:szCs w:val="18"/>
          <w:highlight w:val="none"/>
        </w:rPr>
        <w:t xml:space="preserve">项目，其响应供应商提供的</w:t>
      </w:r>
      <w:r>
        <w:rPr>
          <w:rFonts w:hint="eastAsia" w:ascii="宋体" w:hAnsi="宋体" w:cs="宋体"/>
          <w:color w:val="000000"/>
          <w:sz w:val="18"/>
          <w:szCs w:val="18"/>
          <w:highlight w:val="none"/>
          <w:u w:val="single"/>
        </w:rPr>
        <w:t xml:space="preserve"> 工程 </w:t>
      </w:r>
      <w:r>
        <w:rPr>
          <w:rFonts w:hint="eastAsia" w:ascii="宋体" w:hAnsi="宋体" w:cs="宋体"/>
          <w:color w:val="000000"/>
          <w:sz w:val="18"/>
          <w:szCs w:val="18"/>
          <w:highlight w:val="none"/>
        </w:rPr>
        <w:t xml:space="preserve">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0"/>
        <w:spacing w:line="300" w:lineRule="auto"/>
        <w:rPr>
          <w:rFonts w:hint="eastAsia" w:ascii="宋体" w:hAnsi="宋体" w:cs="宋体"/>
          <w:color w:val="000000"/>
          <w:sz w:val="18"/>
          <w:szCs w:val="18"/>
          <w:highlight w:val="none"/>
        </w:rPr>
        <w:outlineLvl w:val="0"/>
      </w:pPr>
      <w:r>
        <w:rPr>
          <w:rFonts w:hint="eastAsia" w:ascii="宋体" w:hAnsi="宋体" w:cs="宋体"/>
          <w:color w:val="000000"/>
          <w:sz w:val="18"/>
          <w:szCs w:val="18"/>
          <w:highlight w:val="none"/>
        </w:rPr>
        <w:t xml:space="preserve">（2）若响应供应商提供的 “中小企业声明函”内容不实的，属于提供虚假材料谋取成交；响应供应商的该行为将报请采购监管的财政部门按《中华人民共和国政府采购法》第七十七条的规定处理并给予行政处罚。</w:t>
      </w:r>
      <w:r/>
    </w:p>
    <w:p>
      <w:pPr>
        <w:ind w:firstLine="360"/>
        <w:spacing w:line="300" w:lineRule="auto"/>
        <w:rPr>
          <w:rFonts w:hint="eastAsia" w:ascii="宋体" w:hAnsi="宋体" w:cs="宋体"/>
          <w:color w:val="000000"/>
          <w:sz w:val="24"/>
          <w:highlight w:val="none"/>
        </w:rPr>
        <w:outlineLvl w:val="0"/>
      </w:pPr>
      <w:r>
        <w:rPr>
          <w:rFonts w:hint="eastAsia" w:ascii="宋体" w:hAnsi="宋体" w:cs="宋体"/>
          <w:color w:val="000000"/>
          <w:sz w:val="18"/>
          <w:szCs w:val="18"/>
          <w:highlight w:val="none"/>
        </w:rPr>
        <w:t xml:space="preserve">（3）从业人员、营业收入、资产总额填报上一年度数据，无上一年度数据的新成立企业可不填报。</w:t>
      </w:r>
      <w:r/>
    </w:p>
    <w:p>
      <w:pPr>
        <w:spacing w:line="300" w:lineRule="auto"/>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t xml:space="preserve">附件12</w:t>
      </w:r>
      <w:r/>
    </w:p>
    <w:p>
      <w:pPr>
        <w:jc w:val="center"/>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p>
    <w:p>
      <w:pPr>
        <w:ind w:firstLine="561"/>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561"/>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中国残疾人联合会关于促进残疾人就业政府采购政策的通知》（财库〔2017〕141号）的规定，本单位为符合条件的残疾人福利性单位，且本单位参加单位的项目编号为（</w:t>
      </w:r>
      <w:r>
        <w:rPr>
          <w:rFonts w:hint="eastAsia" w:ascii="宋体" w:hAnsi="宋体" w:cs="宋体"/>
          <w:bCs/>
          <w:color w:val="000000"/>
          <w:sz w:val="24"/>
          <w:highlight w:val="none"/>
          <w:u w:val="single"/>
          <w:lang w:eastAsia="zh-CN"/>
        </w:rPr>
        <w:t xml:space="preserve">JSZC-320600-NTWL-C2025-0026</w:t>
      </w:r>
      <w:r>
        <w:rPr>
          <w:rFonts w:hint="eastAsia" w:ascii="宋体" w:hAnsi="宋体" w:cs="宋体"/>
          <w:color w:val="000000"/>
          <w:sz w:val="24"/>
          <w:highlight w:val="none"/>
        </w:rPr>
        <w:t xml:space="preserve">）的项目采购活动提供本单位制造的货物（由本单位承担工程/提供服务），或者提供其他残疾人福利性单位制造的货物（不包括使用非残疾人福利性单位注册商标的货物）。</w:t>
      </w:r>
      <w:r/>
    </w:p>
    <w:p>
      <w:pPr>
        <w:ind w:firstLine="561"/>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p>
    <w:p>
      <w:pPr>
        <w:ind w:firstLine="561"/>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cs="宋体"/>
          <w:color w:val="000000"/>
          <w:spacing w:val="6"/>
          <w:sz w:val="28"/>
          <w:szCs w:val="28"/>
          <w:highlight w:val="none"/>
        </w:rPr>
      </w:pPr>
      <w:r>
        <w:rPr>
          <w:rFonts w:hint="eastAsia" w:ascii="宋体" w:hAnsi="宋体" w:cs="宋体"/>
          <w:color w:val="000000"/>
          <w:spacing w:val="6"/>
          <w:sz w:val="28"/>
          <w:szCs w:val="28"/>
          <w:highlight w:val="none"/>
        </w:rPr>
      </w:r>
      <w:r/>
    </w:p>
    <w:p>
      <w:pPr>
        <w:ind w:firstLine="584"/>
        <w:spacing w:line="588" w:lineRule="exact"/>
        <w:rPr>
          <w:rFonts w:hint="eastAsia" w:ascii="宋体" w:hAnsi="宋体" w:cs="宋体"/>
          <w:color w:val="000000"/>
          <w:spacing w:val="6"/>
          <w:sz w:val="28"/>
          <w:szCs w:val="28"/>
          <w:highlight w:val="none"/>
        </w:rPr>
      </w:pPr>
      <w:r>
        <w:rPr>
          <w:rFonts w:hint="eastAsia" w:ascii="宋体" w:hAnsi="宋体" w:cs="宋体"/>
          <w:color w:val="000000"/>
          <w:spacing w:val="6"/>
          <w:sz w:val="28"/>
          <w:szCs w:val="28"/>
          <w:highlight w:val="none"/>
        </w:rPr>
      </w:r>
      <w:r/>
    </w:p>
    <w:p>
      <w:pPr>
        <w:ind w:firstLine="584"/>
        <w:spacing w:line="588" w:lineRule="exact"/>
        <w:rPr>
          <w:rFonts w:hint="eastAsia" w:ascii="宋体" w:hAnsi="宋体" w:cs="宋体"/>
          <w:color w:val="000000"/>
          <w:spacing w:val="6"/>
          <w:sz w:val="28"/>
          <w:szCs w:val="28"/>
          <w:highlight w:val="none"/>
        </w:rPr>
      </w:pPr>
      <w:r>
        <w:rPr>
          <w:rFonts w:hint="eastAsia" w:ascii="宋体" w:hAnsi="宋体" w:cs="宋体"/>
          <w:color w:val="000000"/>
          <w:spacing w:val="6"/>
          <w:sz w:val="28"/>
          <w:szCs w:val="28"/>
          <w:highlight w:val="none"/>
        </w:rPr>
      </w:r>
      <w:r/>
    </w:p>
    <w:p>
      <w:pPr>
        <w:ind w:firstLine="584"/>
        <w:spacing w:line="588" w:lineRule="exact"/>
        <w:rPr>
          <w:rFonts w:hint="eastAsia" w:ascii="宋体" w:hAnsi="宋体" w:cs="宋体"/>
          <w:color w:val="000000"/>
          <w:spacing w:val="6"/>
          <w:sz w:val="28"/>
          <w:szCs w:val="28"/>
          <w:highlight w:val="none"/>
        </w:rPr>
      </w:pPr>
      <w:r>
        <w:rPr>
          <w:rFonts w:hint="eastAsia" w:ascii="宋体" w:hAnsi="宋体" w:cs="宋体"/>
          <w:color w:val="000000"/>
          <w:spacing w:val="6"/>
          <w:sz w:val="28"/>
          <w:szCs w:val="28"/>
          <w:highlight w:val="none"/>
        </w:rPr>
      </w:r>
      <w:r/>
    </w:p>
    <w:p>
      <w:pPr>
        <w:ind w:right="1559" w:firstLine="584"/>
        <w:jc w:val="center"/>
        <w:spacing w:line="460" w:lineRule="exact"/>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供应商全称（盖章）：</w:t>
      </w:r>
      <w:r>
        <w:rPr>
          <w:rFonts w:hint="eastAsia" w:ascii="宋体" w:hAnsi="宋体" w:cs="宋体"/>
          <w:bCs/>
          <w:color w:val="000000"/>
          <w:sz w:val="24"/>
          <w:highlight w:val="none"/>
          <w:u w:val="single"/>
        </w:rPr>
        <w:t xml:space="preserve">                          </w:t>
      </w:r>
      <w:r/>
    </w:p>
    <w:p>
      <w:pPr>
        <w:ind w:right="1559" w:firstLine="560"/>
        <w:jc w:val="center"/>
        <w:spacing w:line="460" w:lineRule="exact"/>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rPr>
          <w:rFonts w:hint="eastAsia" w:ascii="宋体" w:hAnsi="宋体" w:cs="宋体"/>
          <w:bCs/>
          <w:color w:val="000000"/>
          <w:sz w:val="24"/>
          <w:highlight w:val="none"/>
          <w:u w:val="single"/>
        </w:rPr>
        <w:t xml:space="preserve">                      </w:t>
      </w:r>
      <w:r/>
    </w:p>
    <w:p>
      <w:pPr>
        <w:ind w:firstLine="42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t xml:space="preserve">附件13</w:t>
      </w:r>
      <w:r/>
    </w:p>
    <w:p>
      <w:pPr>
        <w:jc w:val="center"/>
        <w:spacing w:line="420" w:lineRule="exact"/>
        <w:rPr>
          <w:rFonts w:hint="eastAsia" w:ascii="宋体" w:hAnsi="宋体" w:cs="宋体"/>
          <w:b/>
          <w:bCs/>
          <w:color w:val="000000"/>
          <w:sz w:val="32"/>
          <w:szCs w:val="32"/>
          <w:highlight w:val="none"/>
        </w:rPr>
        <w:outlineLvl w:val="3"/>
      </w:pPr>
      <w:r>
        <w:rPr>
          <w:rFonts w:hint="eastAsia" w:ascii="宋体" w:hAnsi="宋体" w:cs="宋体"/>
          <w:b/>
          <w:bCs/>
          <w:color w:val="000000"/>
          <w:sz w:val="32"/>
          <w:szCs w:val="32"/>
          <w:highlight w:val="none"/>
        </w:rPr>
        <w:t xml:space="preserve">监狱和戒毒企业证明材料</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98"/>
        <w:jc w:val="center"/>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658"/>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32"/>
          <w:szCs w:val="32"/>
          <w:highlight w:val="none"/>
        </w:rPr>
        <w:outlineLvl w:val="0"/>
      </w:pPr>
      <w:r>
        <w:rPr>
          <w:rFonts w:hint="eastAsia" w:ascii="宋体" w:hAnsi="宋体" w:cs="宋体"/>
          <w:bCs/>
          <w:color w:val="000000"/>
          <w:sz w:val="32"/>
          <w:szCs w:val="32"/>
          <w:highlight w:val="none"/>
        </w:rPr>
        <w:br w:type="page" w:clear="all"/>
      </w:r>
      <w:r>
        <w:rPr>
          <w:rFonts w:hint="eastAsia" w:ascii="宋体" w:hAnsi="宋体" w:cs="宋体"/>
          <w:color w:val="000000"/>
          <w:sz w:val="32"/>
          <w:szCs w:val="32"/>
          <w:highlight w:val="none"/>
        </w:rPr>
        <w:t xml:space="preserve">附件14</w:t>
      </w:r>
      <w:r/>
    </w:p>
    <w:p>
      <w:pPr>
        <w:jc w:val="center"/>
        <w:rPr>
          <w:rFonts w:hint="eastAsia" w:ascii="宋体" w:hAnsi="宋体" w:cs="宋体"/>
          <w:b/>
          <w:bCs w:val="0"/>
          <w:color w:val="000000"/>
          <w:sz w:val="44"/>
          <w:szCs w:val="44"/>
          <w:highlight w:val="none"/>
        </w:rPr>
      </w:pPr>
      <w:r>
        <w:rPr>
          <w:rFonts w:hint="eastAsia" w:ascii="宋体" w:hAnsi="宋体" w:cs="宋体"/>
          <w:b/>
          <w:bCs w:val="0"/>
          <w:color w:val="000000"/>
          <w:sz w:val="44"/>
          <w:szCs w:val="44"/>
          <w:highlight w:val="none"/>
        </w:rPr>
        <w:t xml:space="preserve">质疑函范本</w:t>
      </w:r>
      <w:r/>
    </w:p>
    <w:p>
      <w:pPr>
        <w:spacing w:before="24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一、质疑供应商基本信息</w:t>
      </w:r>
      <w:r/>
    </w:p>
    <w:p>
      <w:pP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质疑供应商：</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                          邮编：</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联系人：                        联系电话：</w:t>
      </w:r>
      <w:r/>
    </w:p>
    <w:p>
      <w:pP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授权代表：</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                          邮编：</w:t>
      </w:r>
      <w:r/>
    </w:p>
    <w:p>
      <w:pPr>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二、质疑项目基本情况</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质疑项目的名称：</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质疑项目的编号：                包号：</w:t>
      </w:r>
      <w:r/>
    </w:p>
    <w:p>
      <w:pP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采购单位名称：</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采购文件获取日期：</w:t>
      </w:r>
      <w:r/>
    </w:p>
    <w:p>
      <w:pPr>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三、质疑事项具体内容</w:t>
      </w:r>
      <w:r/>
    </w:p>
    <w:p>
      <w:pP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质疑事项1：</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事实依据：</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法律依据：</w:t>
      </w:r>
      <w:r/>
    </w:p>
    <w:p>
      <w:pP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质疑事项2</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p>
    <w:p>
      <w:pPr>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四、与质疑事项相关的质疑请求</w:t>
      </w:r>
      <w:r/>
    </w:p>
    <w:p>
      <w:pPr>
        <w:spacing w:line="4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请求：</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签字(签章)：                   公章：                      </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    </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质疑函制作说明：</w:t>
      </w:r>
      <w:r/>
    </w:p>
    <w:p>
      <w:pPr>
        <w:ind w:firstLine="56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1.供应商提出质疑时，应提交质疑函和必要的证明材料。</w:t>
      </w:r>
      <w:r/>
    </w:p>
    <w:p>
      <w:pPr>
        <w:ind w:firstLine="56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3.质疑供应商若对项目的某一分包进行质疑，质疑函中应列明具体分包号。</w:t>
      </w:r>
      <w:r/>
    </w:p>
    <w:p>
      <w:pPr>
        <w:ind w:firstLine="56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5.质疑函的质疑请求应与质疑事项相关。</w:t>
      </w:r>
      <w:r/>
    </w:p>
    <w:p>
      <w:pPr>
        <w:ind w:firstLine="56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5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spacing w:line="5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contextualSpacing/>
        <w:spacing w:line="500" w:lineRule="exact"/>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rPr>
      </w:r>
      <w:r/>
    </w:p>
    <w:p>
      <w:pPr>
        <w:jc w:val="center"/>
        <w:spacing w:before="156" w:after="156"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p>
    <w:p>
      <w:pPr>
        <w:jc w:val="center"/>
        <w:spacing w:before="156" w:after="156"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jc w:val="center"/>
        <w:spacing w:before="156" w:after="156"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第七部分 工程量清单</w:t>
      </w:r>
      <w:r/>
    </w:p>
    <w:p>
      <w:pPr>
        <w:pStyle w:val="75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（详见附件）</w:t>
      </w:r>
      <w:r/>
    </w:p>
    <w:p>
      <w:pPr>
        <w:jc w:val="left"/>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jc w:val="center"/>
        <w:rPr>
          <w:rFonts w:hint="eastAsia" w:ascii="宋体" w:hAnsi="宋体" w:cs="宋体"/>
          <w:color w:val="000000"/>
          <w:highlight w:val="none"/>
        </w:rPr>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t xml:space="preserve">第八部分 图纸</w:t>
      </w:r>
      <w:r/>
    </w:p>
    <w:p>
      <w:pPr>
        <w:pStyle w:val="75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75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75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75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（详见附件）</w:t>
      </w:r>
      <w:r/>
    </w:p>
    <w:p>
      <w:pPr>
        <w:pStyle w:val="75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75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75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75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751"/>
        <w:jc w:val="center"/>
        <w:rPr>
          <w:rFonts w:hint="eastAsia" w:ascii="宋体" w:hAnsi="宋体" w:cs="宋体"/>
          <w:b/>
          <w:bCs/>
          <w:color w:val="000000"/>
          <w:highlight w:val="none"/>
        </w:rPr>
      </w:pPr>
      <w:r>
        <w:rPr>
          <w:rFonts w:hint="eastAsia" w:ascii="宋体" w:hAnsi="宋体" w:cs="宋体"/>
          <w:b/>
          <w:bCs/>
          <w:color w:val="000000"/>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……全文结束……</w:t>
      </w:r>
      <w:r/>
    </w:p>
    <w:p>
      <w:pPr>
        <w:pStyle w:val="751"/>
        <w:jc w:val="center"/>
        <w:rPr>
          <w:rFonts w:hint="eastAsia" w:ascii="宋体" w:hAnsi="宋体" w:cs="宋体"/>
          <w:b/>
          <w:bCs/>
          <w:color w:val="000000"/>
          <w:highlight w:val="none"/>
        </w:rPr>
      </w:pPr>
      <w:r>
        <w:rPr>
          <w:rFonts w:hint="eastAsia" w:ascii="宋体" w:hAnsi="宋体" w:cs="宋体"/>
          <w:b/>
          <w:bCs/>
          <w:color w:val="000000"/>
          <w:highlight w:val="none"/>
        </w:rPr>
      </w:r>
      <w:r/>
    </w:p>
    <w:sectPr>
      <w:headerReference w:type="default" r:id="rId9"/>
      <w:footerReference w:type="default" r:id="rId11"/>
      <w:footnotePr/>
      <w:endnotePr/>
      <w:type w:val="nextPage"/>
      <w:pgSz w:w="11907" w:h="16839" w:orient="portrait"/>
      <w:pgMar w:top="1440" w:right="1117" w:bottom="1117" w:left="1803"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Tahoma">
    <w:panose1 w:val="020B0604030504040204"/>
  </w:font>
  <w:font w:name="新宋体">
    <w:panose1 w:val="02010609030101010101"/>
  </w:font>
  <w:font w:name="Symbol">
    <w:panose1 w:val="05050102010706020507"/>
  </w:font>
  <w:font w:name="Courier New">
    <w:panose1 w:val="02070309020205020404"/>
  </w:font>
  <w:font w:name="方正仿宋_GB2312">
    <w:panose1 w:val="020B0503020202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2491408</wp:posOffset>
              </wp:positionH>
              <wp:positionV relativeFrom="paragraph">
                <wp:posOffset>-16565</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444527" cy="318042"/>
                      </a:xfrm>
                      <a:prstGeom prst="rect">
                        <a:avLst/>
                      </a:prstGeom>
                      <a:noFill/>
                      <a:ln>
                        <a:noFill/>
                      </a:ln>
                    </wps:spPr>
                    <wps:txbx>
                      <w:txbxContent>
                        <w:p>
                          <w:pPr>
                            <w:pStyle w:val="767"/>
                            <w:tabs>
                              <w:tab w:val="clear" w:pos="7143" w:leader="none"/>
                              <w:tab w:val="clear" w:pos="14287" w:leader="none"/>
                            </w:tabs>
                          </w:pPr>
                          <w:r>
                            <w:t xml:space="preserve">第 </w:t>
                          </w:r>
                          <w:r>
                            <w:fldChar w:fldCharType="begin"/>
                          </w:r>
                          <w:r>
                            <w:instrText xml:space="preserve"> PAGE  \* MERGEFORMAT </w:instrText>
                          </w:r>
                          <w:r>
                            <w:fldChar w:fldCharType="separate"/>
                          </w:r>
                          <w:r>
                            <w:t xml:space="preserve">90</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6.2pt;mso-position-horizontal:absolute;mso-position-vertical-relative:text;margin-top:-1.3pt;mso-position-vertical:absolute;width:144.0pt;height:144.0pt;mso-wrap-distance-left:9.0pt;mso-wrap-distance-top:0.0pt;mso-wrap-distance-right:9.0pt;mso-wrap-distance-bottom:0.0pt;visibility:visible;" filled="f" stroked="f">
              <v:textbox inset="0,0,0,0">
                <w:txbxContent>
                  <w:p>
                    <w:pPr>
                      <w:pStyle w:val="767"/>
                      <w:tabs>
                        <w:tab w:val="clear" w:pos="7143" w:leader="none"/>
                        <w:tab w:val="clear" w:pos="14287" w:leader="none"/>
                      </w:tabs>
                    </w:pPr>
                    <w:r>
                      <w:t xml:space="preserve">第 </w:t>
                    </w:r>
                    <w:r>
                      <w:fldChar w:fldCharType="begin"/>
                    </w:r>
                    <w:r>
                      <w:instrText xml:space="preserve"> PAGE  \* MERGEFORMAT </w:instrText>
                    </w:r>
                    <w:r>
                      <w:fldChar w:fldCharType="separate"/>
                    </w:r>
                    <w:r>
                      <w:t xml:space="preserve">90</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65"/>
    <w:uiPriority w:val="9"/>
    <w:rPr>
      <w:rFonts w:ascii="Arial" w:hAnsi="Arial" w:eastAsia="Arial" w:cs="Arial"/>
      <w:sz w:val="40"/>
      <w:szCs w:val="40"/>
    </w:rPr>
  </w:style>
  <w:style w:type="character" w:styleId="15">
    <w:name w:val="Heading 2 Char"/>
    <w:basedOn w:val="674"/>
    <w:link w:val="666"/>
    <w:uiPriority w:val="9"/>
    <w:rPr>
      <w:rFonts w:ascii="Arial" w:hAnsi="Arial" w:eastAsia="Arial" w:cs="Arial"/>
      <w:sz w:val="34"/>
    </w:rPr>
  </w:style>
  <w:style w:type="character" w:styleId="17">
    <w:name w:val="Heading 3 Char"/>
    <w:basedOn w:val="674"/>
    <w:link w:val="667"/>
    <w:uiPriority w:val="9"/>
    <w:rPr>
      <w:rFonts w:ascii="Arial" w:hAnsi="Arial" w:eastAsia="Arial" w:cs="Arial"/>
      <w:sz w:val="30"/>
      <w:szCs w:val="30"/>
    </w:rPr>
  </w:style>
  <w:style w:type="character" w:styleId="19">
    <w:name w:val="Heading 4 Char"/>
    <w:basedOn w:val="674"/>
    <w:link w:val="668"/>
    <w:uiPriority w:val="9"/>
    <w:rPr>
      <w:rFonts w:ascii="Arial" w:hAnsi="Arial" w:eastAsia="Arial" w:cs="Arial"/>
      <w:b/>
      <w:bCs/>
      <w:sz w:val="26"/>
      <w:szCs w:val="26"/>
    </w:rPr>
  </w:style>
  <w:style w:type="character" w:styleId="21">
    <w:name w:val="Heading 5 Char"/>
    <w:basedOn w:val="674"/>
    <w:link w:val="669"/>
    <w:uiPriority w:val="9"/>
    <w:rPr>
      <w:rFonts w:ascii="Arial" w:hAnsi="Arial" w:eastAsia="Arial" w:cs="Arial"/>
      <w:b/>
      <w:bCs/>
      <w:sz w:val="24"/>
      <w:szCs w:val="24"/>
    </w:rPr>
  </w:style>
  <w:style w:type="character" w:styleId="23">
    <w:name w:val="Heading 6 Char"/>
    <w:basedOn w:val="674"/>
    <w:link w:val="670"/>
    <w:uiPriority w:val="9"/>
    <w:rPr>
      <w:rFonts w:ascii="Arial" w:hAnsi="Arial" w:eastAsia="Arial" w:cs="Arial"/>
      <w:b/>
      <w:bCs/>
      <w:sz w:val="22"/>
      <w:szCs w:val="22"/>
    </w:rPr>
  </w:style>
  <w:style w:type="character" w:styleId="25">
    <w:name w:val="Heading 7 Char"/>
    <w:basedOn w:val="674"/>
    <w:link w:val="671"/>
    <w:uiPriority w:val="9"/>
    <w:rPr>
      <w:rFonts w:ascii="Arial" w:hAnsi="Arial" w:eastAsia="Arial" w:cs="Arial"/>
      <w:b/>
      <w:bCs/>
      <w:i/>
      <w:i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700"/>
    <w:uiPriority w:val="10"/>
    <w:rPr>
      <w:sz w:val="48"/>
      <w:szCs w:val="48"/>
    </w:rPr>
  </w:style>
  <w:style w:type="character" w:styleId="36">
    <w:name w:val="Subtitle Char"/>
    <w:basedOn w:val="674"/>
    <w:link w:val="692"/>
    <w:uiPriority w:val="11"/>
    <w:rPr>
      <w:sz w:val="24"/>
      <w:szCs w:val="24"/>
    </w:rPr>
  </w:style>
  <w:style w:type="character" w:styleId="38">
    <w:name w:val="Quote Char"/>
    <w:link w:val="721"/>
    <w:uiPriority w:val="29"/>
    <w:rPr>
      <w:i/>
    </w:rPr>
  </w:style>
  <w:style w:type="character" w:styleId="40">
    <w:name w:val="Intense Quote Char"/>
    <w:link w:val="723"/>
    <w:uiPriority w:val="30"/>
    <w:rPr>
      <w:i/>
    </w:rPr>
  </w:style>
  <w:style w:type="character" w:styleId="42">
    <w:name w:val="Header Char"/>
    <w:basedOn w:val="674"/>
    <w:link w:val="689"/>
    <w:uiPriority w:val="99"/>
  </w:style>
  <w:style w:type="character" w:styleId="46">
    <w:name w:val="Caption Char"/>
    <w:basedOn w:val="677"/>
    <w:link w:val="688"/>
    <w:uiPriority w:val="99"/>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3"/>
    <w:uiPriority w:val="99"/>
    <w:rPr>
      <w:sz w:val="18"/>
    </w:rPr>
  </w:style>
  <w:style w:type="character" w:styleId="178">
    <w:name w:val="Endnote Text Char"/>
    <w:link w:val="687"/>
    <w:uiPriority w:val="99"/>
    <w:rPr>
      <w:sz w:val="20"/>
    </w:rPr>
  </w:style>
  <w:style w:type="paragraph" w:styleId="189">
    <w:name w:val="TOC Heading"/>
    <w:uiPriority w:val="39"/>
    <w:unhideWhenUsed/>
  </w:style>
  <w:style w:type="paragraph" w:styleId="6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5">
    <w:name w:val="Heading 1"/>
    <w:basedOn w:val="664"/>
    <w:next w:val="664"/>
    <w:link w:val="708"/>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709"/>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10"/>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11"/>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12"/>
    <w:uiPriority w:val="9"/>
    <w:unhideWhenUsed/>
    <w:qFormat/>
    <w:pPr>
      <w:keepLines/>
      <w:keepNext/>
      <w:spacing w:before="320" w:after="200"/>
      <w:outlineLvl w:val="4"/>
    </w:pPr>
    <w:rPr>
      <w:rFonts w:ascii="Arial" w:hAnsi="Arial" w:eastAsia="Arial" w:cs="Arial"/>
      <w:b/>
      <w:bCs/>
      <w:sz w:val="24"/>
    </w:rPr>
  </w:style>
  <w:style w:type="paragraph" w:styleId="670">
    <w:name w:val="Heading 6"/>
    <w:basedOn w:val="664"/>
    <w:next w:val="664"/>
    <w:link w:val="713"/>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15"/>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16"/>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spacing w:after="57"/>
    </w:pPr>
  </w:style>
  <w:style w:type="paragraph" w:styleId="677">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toa heading"/>
    <w:basedOn w:val="664"/>
    <w:next w:val="664"/>
    <w:uiPriority w:val="0"/>
    <w:qFormat/>
    <w:pPr>
      <w:jc w:val="center"/>
      <w:spacing w:line="360" w:lineRule="atLeast"/>
    </w:pPr>
    <w:rPr>
      <w:rFonts w:ascii="Arial" w:hAnsi="Arial" w:eastAsia="黑体"/>
      <w:sz w:val="36"/>
      <w:szCs w:val="20"/>
    </w:rPr>
  </w:style>
  <w:style w:type="paragraph" w:styleId="679">
    <w:name w:val="annotation text"/>
    <w:basedOn w:val="664"/>
    <w:uiPriority w:val="99"/>
    <w:semiHidden/>
    <w:unhideWhenUsed/>
    <w:qFormat/>
    <w:pPr>
      <w:jc w:val="left"/>
    </w:pPr>
  </w:style>
  <w:style w:type="paragraph" w:styleId="680">
    <w:name w:val="Body Text"/>
    <w:basedOn w:val="664"/>
    <w:uiPriority w:val="0"/>
    <w:unhideWhenUsed/>
    <w:qFormat/>
    <w:pPr>
      <w:tabs>
        <w:tab w:val="left" w:pos="5250" w:leader="none"/>
      </w:tabs>
    </w:pPr>
    <w:rPr>
      <w:szCs w:val="20"/>
    </w:rPr>
  </w:style>
  <w:style w:type="paragraph" w:styleId="681">
    <w:name w:val="Body Text Indent"/>
    <w:basedOn w:val="664"/>
    <w:next w:val="682"/>
    <w:uiPriority w:val="0"/>
    <w:qFormat/>
    <w:pPr>
      <w:ind w:firstLine="570"/>
    </w:pPr>
    <w:rPr>
      <w:rFonts w:ascii="楷体_GB2312" w:eastAsia="楷体_GB2312"/>
      <w:sz w:val="30"/>
      <w:szCs w:val="20"/>
    </w:rPr>
  </w:style>
  <w:style w:type="paragraph" w:styleId="682">
    <w:name w:val="envelope return"/>
    <w:basedOn w:val="664"/>
    <w:uiPriority w:val="0"/>
    <w:qFormat/>
    <w:rPr>
      <w:rFonts w:ascii="Arial" w:hAnsi="Arial" w:cs="Arial"/>
    </w:rPr>
  </w:style>
  <w:style w:type="paragraph" w:styleId="683">
    <w:name w:val="toc 5"/>
    <w:basedOn w:val="664"/>
    <w:next w:val="664"/>
    <w:uiPriority w:val="39"/>
    <w:unhideWhenUsed/>
    <w:qFormat/>
    <w:pPr>
      <w:ind w:left="1134"/>
      <w:spacing w:after="57"/>
    </w:pPr>
  </w:style>
  <w:style w:type="paragraph" w:styleId="684">
    <w:name w:val="toc 3"/>
    <w:basedOn w:val="664"/>
    <w:next w:val="664"/>
    <w:uiPriority w:val="39"/>
    <w:unhideWhenUsed/>
    <w:qFormat/>
    <w:pPr>
      <w:ind w:left="567"/>
      <w:spacing w:after="57"/>
    </w:pPr>
  </w:style>
  <w:style w:type="paragraph" w:styleId="685">
    <w:name w:val="toc 8"/>
    <w:basedOn w:val="664"/>
    <w:next w:val="664"/>
    <w:uiPriority w:val="39"/>
    <w:unhideWhenUsed/>
    <w:qFormat/>
    <w:pPr>
      <w:ind w:left="1984"/>
      <w:spacing w:after="57"/>
    </w:pPr>
  </w:style>
  <w:style w:type="paragraph" w:styleId="686">
    <w:name w:val="Body Text Indent 2"/>
    <w:basedOn w:val="664"/>
    <w:uiPriority w:val="0"/>
    <w:qFormat/>
    <w:pPr>
      <w:ind w:firstLine="570"/>
      <w:spacing w:line="520" w:lineRule="atLeast"/>
    </w:pPr>
    <w:rPr>
      <w:szCs w:val="20"/>
    </w:rPr>
  </w:style>
  <w:style w:type="paragraph" w:styleId="687">
    <w:name w:val="endnote text"/>
    <w:basedOn w:val="664"/>
    <w:link w:val="729"/>
    <w:uiPriority w:val="99"/>
    <w:semiHidden/>
    <w:unhideWhenUsed/>
    <w:qFormat/>
    <w:rPr>
      <w:sz w:val="20"/>
    </w:rPr>
  </w:style>
  <w:style w:type="paragraph" w:styleId="688">
    <w:name w:val="Footer"/>
    <w:basedOn w:val="664"/>
    <w:link w:val="727"/>
    <w:uiPriority w:val="99"/>
    <w:unhideWhenUsed/>
    <w:qFormat/>
    <w:pPr>
      <w:tabs>
        <w:tab w:val="center" w:pos="7143" w:leader="none"/>
        <w:tab w:val="right" w:pos="14287" w:leader="none"/>
      </w:tabs>
    </w:pPr>
  </w:style>
  <w:style w:type="paragraph" w:styleId="689">
    <w:name w:val="Header"/>
    <w:basedOn w:val="664"/>
    <w:link w:val="725"/>
    <w:uiPriority w:val="99"/>
    <w:unhideWhenUsed/>
    <w:qFormat/>
    <w:pPr>
      <w:tabs>
        <w:tab w:val="center" w:pos="7143" w:leader="none"/>
        <w:tab w:val="right" w:pos="14287" w:leader="none"/>
      </w:tabs>
    </w:pPr>
  </w:style>
  <w:style w:type="paragraph" w:styleId="690">
    <w:name w:val="toc 1"/>
    <w:basedOn w:val="664"/>
    <w:next w:val="664"/>
    <w:uiPriority w:val="39"/>
    <w:unhideWhenUsed/>
    <w:qFormat/>
    <w:pPr>
      <w:spacing w:after="57"/>
    </w:pPr>
  </w:style>
  <w:style w:type="paragraph" w:styleId="691">
    <w:name w:val="toc 4"/>
    <w:basedOn w:val="664"/>
    <w:next w:val="664"/>
    <w:uiPriority w:val="39"/>
    <w:unhideWhenUsed/>
    <w:qFormat/>
    <w:pPr>
      <w:ind w:left="850"/>
      <w:spacing w:after="57"/>
    </w:pPr>
  </w:style>
  <w:style w:type="paragraph" w:styleId="692">
    <w:name w:val="Subtitle"/>
    <w:basedOn w:val="664"/>
    <w:next w:val="664"/>
    <w:link w:val="720"/>
    <w:uiPriority w:val="11"/>
    <w:qFormat/>
    <w:pPr>
      <w:spacing w:before="200" w:after="200"/>
    </w:pPr>
    <w:rPr>
      <w:sz w:val="24"/>
    </w:rPr>
  </w:style>
  <w:style w:type="paragraph" w:styleId="693">
    <w:name w:val="footnote text"/>
    <w:basedOn w:val="664"/>
    <w:link w:val="728"/>
    <w:uiPriority w:val="99"/>
    <w:semiHidden/>
    <w:unhideWhenUsed/>
    <w:qFormat/>
    <w:pPr>
      <w:spacing w:after="40"/>
    </w:pPr>
    <w:rPr>
      <w:sz w:val="18"/>
    </w:rPr>
  </w:style>
  <w:style w:type="paragraph" w:styleId="694">
    <w:name w:val="toc 6"/>
    <w:basedOn w:val="664"/>
    <w:next w:val="664"/>
    <w:uiPriority w:val="39"/>
    <w:unhideWhenUsed/>
    <w:qFormat/>
    <w:pPr>
      <w:ind w:left="1417"/>
      <w:spacing w:after="57"/>
    </w:pPr>
  </w:style>
  <w:style w:type="paragraph" w:styleId="695">
    <w:name w:val="Body Text Indent 3"/>
    <w:basedOn w:val="664"/>
    <w:next w:val="678"/>
    <w:uiPriority w:val="0"/>
    <w:qFormat/>
    <w:pPr>
      <w:ind w:left="840"/>
      <w:spacing w:line="360" w:lineRule="auto"/>
    </w:pPr>
    <w:rPr>
      <w:sz w:val="16"/>
      <w:szCs w:val="16"/>
    </w:rPr>
  </w:style>
  <w:style w:type="paragraph" w:styleId="696">
    <w:name w:val="table of figures"/>
    <w:basedOn w:val="664"/>
    <w:next w:val="664"/>
    <w:uiPriority w:val="99"/>
    <w:unhideWhenUsed/>
    <w:qFormat/>
  </w:style>
  <w:style w:type="paragraph" w:styleId="697">
    <w:name w:val="toc 2"/>
    <w:basedOn w:val="664"/>
    <w:next w:val="664"/>
    <w:uiPriority w:val="39"/>
    <w:unhideWhenUsed/>
    <w:qFormat/>
    <w:pPr>
      <w:ind w:left="283"/>
      <w:spacing w:after="57"/>
    </w:pPr>
  </w:style>
  <w:style w:type="paragraph" w:styleId="698">
    <w:name w:val="toc 9"/>
    <w:basedOn w:val="664"/>
    <w:next w:val="664"/>
    <w:uiPriority w:val="39"/>
    <w:unhideWhenUsed/>
    <w:qFormat/>
    <w:pPr>
      <w:ind w:left="2268"/>
      <w:spacing w:after="57"/>
    </w:pPr>
  </w:style>
  <w:style w:type="paragraph" w:styleId="699">
    <w:name w:val="HTML Preformatted"/>
    <w:basedOn w:val="664"/>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700">
    <w:name w:val="Title"/>
    <w:basedOn w:val="664"/>
    <w:next w:val="664"/>
    <w:link w:val="719"/>
    <w:uiPriority w:val="10"/>
    <w:qFormat/>
    <w:pPr>
      <w:contextualSpacing/>
      <w:spacing w:before="300" w:after="200"/>
    </w:pPr>
    <w:rPr>
      <w:sz w:val="48"/>
      <w:szCs w:val="48"/>
    </w:rPr>
  </w:style>
  <w:style w:type="paragraph" w:styleId="701">
    <w:name w:val="Body Text First Indent 2"/>
    <w:basedOn w:val="681"/>
    <w:next w:val="664"/>
    <w:uiPriority w:val="99"/>
    <w:unhideWhenUsed/>
    <w:qFormat/>
    <w:pPr>
      <w:ind w:left="420" w:firstLine="420"/>
      <w:spacing w:after="120"/>
    </w:pPr>
    <w:rPr>
      <w:rFonts w:ascii="Calibri" w:hAnsi="Calibri" w:eastAsia="宋体"/>
      <w:sz w:val="21"/>
      <w:szCs w:val="24"/>
    </w:rPr>
  </w:style>
  <w:style w:type="table" w:styleId="7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paragraph" w:styleId="70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707" w:customStyle="1">
    <w:name w:val="标题 111"/>
    <w:basedOn w:val="664"/>
    <w:next w:val="664"/>
    <w:link w:val="741"/>
    <w:uiPriority w:val="0"/>
    <w:qFormat/>
    <w:pPr>
      <w:keepLines/>
      <w:keepNext/>
      <w:spacing w:before="480" w:after="200"/>
      <w:outlineLvl w:val="0"/>
    </w:pPr>
    <w:rPr>
      <w:rFonts w:ascii="Arial" w:hAnsi="Arial" w:eastAsia="Arial"/>
      <w:sz w:val="40"/>
      <w:szCs w:val="40"/>
    </w:rPr>
  </w:style>
  <w:style w:type="character" w:styleId="708" w:customStyle="1">
    <w:name w:val="标题 1 字符"/>
    <w:link w:val="665"/>
    <w:uiPriority w:val="9"/>
    <w:qFormat/>
    <w:rPr>
      <w:rFonts w:ascii="Arial" w:hAnsi="Arial" w:eastAsia="Arial" w:cs="Arial"/>
      <w:sz w:val="40"/>
      <w:szCs w:val="40"/>
    </w:rPr>
  </w:style>
  <w:style w:type="character" w:styleId="709" w:customStyle="1">
    <w:name w:val="标题 2 字符"/>
    <w:link w:val="666"/>
    <w:uiPriority w:val="9"/>
    <w:qFormat/>
    <w:rPr>
      <w:rFonts w:ascii="Arial" w:hAnsi="Arial" w:eastAsia="Arial" w:cs="Arial"/>
      <w:sz w:val="34"/>
    </w:rPr>
  </w:style>
  <w:style w:type="character" w:styleId="710" w:customStyle="1">
    <w:name w:val="标题 3 字符"/>
    <w:link w:val="667"/>
    <w:uiPriority w:val="9"/>
    <w:qFormat/>
    <w:rPr>
      <w:rFonts w:ascii="Arial" w:hAnsi="Arial" w:eastAsia="Arial" w:cs="Arial"/>
      <w:sz w:val="30"/>
      <w:szCs w:val="30"/>
    </w:rPr>
  </w:style>
  <w:style w:type="character" w:styleId="711" w:customStyle="1">
    <w:name w:val="标题 4 字符"/>
    <w:link w:val="668"/>
    <w:uiPriority w:val="9"/>
    <w:qFormat/>
    <w:rPr>
      <w:rFonts w:ascii="Arial" w:hAnsi="Arial" w:eastAsia="Arial" w:cs="Arial"/>
      <w:b/>
      <w:bCs/>
      <w:sz w:val="26"/>
      <w:szCs w:val="26"/>
    </w:rPr>
  </w:style>
  <w:style w:type="character" w:styleId="712" w:customStyle="1">
    <w:name w:val="标题 5 字符"/>
    <w:link w:val="669"/>
    <w:uiPriority w:val="9"/>
    <w:qFormat/>
    <w:rPr>
      <w:rFonts w:ascii="Arial" w:hAnsi="Arial" w:eastAsia="Arial" w:cs="Arial"/>
      <w:b/>
      <w:bCs/>
      <w:sz w:val="24"/>
      <w:szCs w:val="24"/>
    </w:rPr>
  </w:style>
  <w:style w:type="character" w:styleId="713" w:customStyle="1">
    <w:name w:val="标题 6 字符"/>
    <w:link w:val="670"/>
    <w:uiPriority w:val="9"/>
    <w:qFormat/>
    <w:rPr>
      <w:rFonts w:ascii="Arial" w:hAnsi="Arial" w:eastAsia="Arial" w:cs="Arial"/>
      <w:b/>
      <w:bCs/>
      <w:sz w:val="22"/>
      <w:szCs w:val="22"/>
    </w:rPr>
  </w:style>
  <w:style w:type="character" w:styleId="714" w:customStyle="1">
    <w:name w:val="标题 7 字符"/>
    <w:link w:val="671"/>
    <w:uiPriority w:val="9"/>
    <w:qFormat/>
    <w:rPr>
      <w:rFonts w:ascii="Arial" w:hAnsi="Arial" w:eastAsia="Arial" w:cs="Arial"/>
      <w:b/>
      <w:bCs/>
      <w:i/>
      <w:iCs/>
      <w:sz w:val="22"/>
      <w:szCs w:val="22"/>
    </w:rPr>
  </w:style>
  <w:style w:type="character" w:styleId="715" w:customStyle="1">
    <w:name w:val="标题 8 字符"/>
    <w:link w:val="672"/>
    <w:uiPriority w:val="9"/>
    <w:qFormat/>
    <w:rPr>
      <w:rFonts w:ascii="Arial" w:hAnsi="Arial" w:eastAsia="Arial" w:cs="Arial"/>
      <w:i/>
      <w:iCs/>
      <w:sz w:val="22"/>
      <w:szCs w:val="22"/>
    </w:rPr>
  </w:style>
  <w:style w:type="character" w:styleId="716" w:customStyle="1">
    <w:name w:val="标题 9 字符"/>
    <w:link w:val="673"/>
    <w:uiPriority w:val="9"/>
    <w:qFormat/>
    <w:rPr>
      <w:rFonts w:ascii="Arial" w:hAnsi="Arial" w:eastAsia="Arial" w:cs="Arial"/>
      <w:i/>
      <w:iCs/>
      <w:sz w:val="21"/>
      <w:szCs w:val="21"/>
    </w:rPr>
  </w:style>
  <w:style w:type="paragraph" w:styleId="717">
    <w:name w:val="List Paragraph"/>
    <w:basedOn w:val="664"/>
    <w:uiPriority w:val="34"/>
    <w:qFormat/>
    <w:pPr>
      <w:contextualSpacing/>
      <w:ind w:left="720"/>
    </w:pPr>
  </w:style>
  <w:style w:type="paragraph" w:styleId="718">
    <w:name w:val="No Spacing"/>
    <w:uiPriority w:val="1"/>
    <w:qFormat/>
    <w:rPr>
      <w:rFonts w:ascii="Times New Roman" w:hAnsi="Times New Roman" w:eastAsia="宋体" w:cs="Times New Roman"/>
      <w:lang w:val="en-US" w:eastAsia="zh-CN" w:bidi="ar-SA"/>
    </w:rPr>
  </w:style>
  <w:style w:type="character" w:styleId="719" w:customStyle="1">
    <w:name w:val="标题 字符"/>
    <w:link w:val="700"/>
    <w:uiPriority w:val="10"/>
    <w:qFormat/>
    <w:rPr>
      <w:sz w:val="48"/>
      <w:szCs w:val="48"/>
    </w:rPr>
  </w:style>
  <w:style w:type="character" w:styleId="720" w:customStyle="1">
    <w:name w:val="副标题 字符"/>
    <w:link w:val="692"/>
    <w:uiPriority w:val="11"/>
    <w:qFormat/>
    <w:rPr>
      <w:sz w:val="24"/>
      <w:szCs w:val="24"/>
    </w:rPr>
  </w:style>
  <w:style w:type="paragraph" w:styleId="721">
    <w:name w:val="Quote"/>
    <w:basedOn w:val="664"/>
    <w:next w:val="664"/>
    <w:link w:val="722"/>
    <w:uiPriority w:val="29"/>
    <w:qFormat/>
    <w:pPr>
      <w:ind w:left="720" w:right="720"/>
    </w:pPr>
    <w:rPr>
      <w:i/>
    </w:rPr>
  </w:style>
  <w:style w:type="character" w:styleId="722" w:customStyle="1">
    <w:name w:val="引用 字符"/>
    <w:link w:val="721"/>
    <w:uiPriority w:val="29"/>
    <w:qFormat/>
    <w:rPr>
      <w:i/>
    </w:rPr>
  </w:style>
  <w:style w:type="paragraph" w:styleId="723">
    <w:name w:val="Intense Quote"/>
    <w:basedOn w:val="664"/>
    <w:next w:val="664"/>
    <w:link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明显引用 字符"/>
    <w:link w:val="723"/>
    <w:uiPriority w:val="30"/>
    <w:qFormat/>
    <w:rPr>
      <w:i/>
    </w:rPr>
  </w:style>
  <w:style w:type="character" w:styleId="725" w:customStyle="1">
    <w:name w:val="页眉 字符"/>
    <w:link w:val="689"/>
    <w:uiPriority w:val="99"/>
    <w:qFormat/>
  </w:style>
  <w:style w:type="character" w:styleId="726" w:customStyle="1">
    <w:name w:val="Footer Char"/>
    <w:uiPriority w:val="99"/>
    <w:qFormat/>
  </w:style>
  <w:style w:type="character" w:styleId="727" w:customStyle="1">
    <w:name w:val="页脚 字符"/>
    <w:link w:val="688"/>
    <w:uiPriority w:val="99"/>
    <w:qFormat/>
  </w:style>
  <w:style w:type="character" w:styleId="728" w:customStyle="1">
    <w:name w:val="脚注文本 字符"/>
    <w:link w:val="693"/>
    <w:uiPriority w:val="99"/>
    <w:qFormat/>
    <w:rPr>
      <w:sz w:val="18"/>
    </w:rPr>
  </w:style>
  <w:style w:type="character" w:styleId="729" w:customStyle="1">
    <w:name w:val="尾注文本 字符"/>
    <w:link w:val="687"/>
    <w:uiPriority w:val="99"/>
    <w:qFormat/>
    <w:rPr>
      <w:sz w:val="20"/>
    </w:rPr>
  </w:style>
  <w:style w:type="paragraph" w:styleId="730" w:customStyle="1">
    <w:name w:val="TOC 标题1"/>
    <w:uiPriority w:val="39"/>
    <w:unhideWhenUsed/>
    <w:qFormat/>
    <w:rPr>
      <w:rFonts w:ascii="Times New Roman" w:hAnsi="Times New Roman" w:eastAsia="宋体" w:cs="Times New Roman"/>
      <w:lang w:val="en-US" w:eastAsia="zh-CN" w:bidi="ar-SA"/>
    </w:rPr>
  </w:style>
  <w:style w:type="paragraph" w:styleId="731" w:customStyle="1">
    <w:name w:val="标题 211"/>
    <w:basedOn w:val="664"/>
    <w:next w:val="664"/>
    <w:link w:val="742"/>
    <w:uiPriority w:val="0"/>
    <w:qFormat/>
    <w:pPr>
      <w:keepLines/>
      <w:keepNext/>
      <w:spacing w:before="360" w:after="200"/>
      <w:outlineLvl w:val="1"/>
    </w:pPr>
    <w:rPr>
      <w:rFonts w:ascii="Arial" w:hAnsi="Arial" w:eastAsia="Arial"/>
      <w:sz w:val="34"/>
      <w:szCs w:val="20"/>
    </w:rPr>
  </w:style>
  <w:style w:type="paragraph" w:styleId="732" w:customStyle="1">
    <w:name w:val="标题 311"/>
    <w:basedOn w:val="664"/>
    <w:next w:val="664"/>
    <w:link w:val="743"/>
    <w:uiPriority w:val="0"/>
    <w:qFormat/>
    <w:pPr>
      <w:keepLines/>
      <w:keepNext/>
      <w:spacing w:before="320" w:after="200"/>
      <w:outlineLvl w:val="2"/>
    </w:pPr>
    <w:rPr>
      <w:rFonts w:ascii="Arial" w:hAnsi="Arial" w:eastAsia="Arial"/>
      <w:sz w:val="30"/>
      <w:szCs w:val="30"/>
    </w:rPr>
  </w:style>
  <w:style w:type="paragraph" w:styleId="733" w:customStyle="1">
    <w:name w:val="标题 411"/>
    <w:basedOn w:val="664"/>
    <w:next w:val="664"/>
    <w:link w:val="744"/>
    <w:uiPriority w:val="0"/>
    <w:qFormat/>
    <w:pPr>
      <w:keepLines/>
      <w:keepNext/>
      <w:spacing w:before="320" w:after="200"/>
      <w:outlineLvl w:val="3"/>
    </w:pPr>
    <w:rPr>
      <w:rFonts w:ascii="Arial" w:hAnsi="Arial" w:eastAsia="Arial"/>
      <w:b/>
      <w:bCs/>
      <w:sz w:val="26"/>
      <w:szCs w:val="26"/>
    </w:rPr>
  </w:style>
  <w:style w:type="paragraph" w:styleId="734" w:customStyle="1">
    <w:name w:val="标题 51"/>
    <w:basedOn w:val="664"/>
    <w:next w:val="664"/>
    <w:link w:val="745"/>
    <w:uiPriority w:val="0"/>
    <w:qFormat/>
    <w:pPr>
      <w:keepLines/>
      <w:keepNext/>
      <w:spacing w:before="320" w:after="200"/>
      <w:outlineLvl w:val="4"/>
    </w:pPr>
    <w:rPr>
      <w:rFonts w:ascii="Arial" w:hAnsi="Arial" w:eastAsia="Arial"/>
      <w:b/>
      <w:bCs/>
      <w:sz w:val="24"/>
    </w:rPr>
  </w:style>
  <w:style w:type="paragraph" w:styleId="735" w:customStyle="1">
    <w:name w:val="标题 61"/>
    <w:basedOn w:val="664"/>
    <w:next w:val="664"/>
    <w:link w:val="746"/>
    <w:uiPriority w:val="0"/>
    <w:qFormat/>
    <w:pPr>
      <w:keepLines/>
      <w:keepNext/>
      <w:spacing w:before="320" w:after="200"/>
      <w:outlineLvl w:val="5"/>
    </w:pPr>
    <w:rPr>
      <w:rFonts w:ascii="Arial" w:hAnsi="Arial" w:eastAsia="Arial"/>
      <w:b/>
      <w:bCs/>
      <w:sz w:val="22"/>
      <w:szCs w:val="22"/>
    </w:rPr>
  </w:style>
  <w:style w:type="paragraph" w:styleId="736" w:customStyle="1">
    <w:name w:val="标题 71"/>
    <w:basedOn w:val="664"/>
    <w:next w:val="664"/>
    <w:link w:val="747"/>
    <w:uiPriority w:val="0"/>
    <w:qFormat/>
    <w:pPr>
      <w:keepLines/>
      <w:keepNext/>
      <w:spacing w:before="320" w:after="200"/>
      <w:outlineLvl w:val="6"/>
    </w:pPr>
    <w:rPr>
      <w:rFonts w:ascii="Arial" w:hAnsi="Arial" w:eastAsia="Arial"/>
      <w:b/>
      <w:bCs/>
      <w:i/>
      <w:iCs/>
      <w:sz w:val="22"/>
      <w:szCs w:val="22"/>
    </w:rPr>
  </w:style>
  <w:style w:type="paragraph" w:styleId="737" w:customStyle="1">
    <w:name w:val="标题 81"/>
    <w:basedOn w:val="664"/>
    <w:next w:val="664"/>
    <w:link w:val="748"/>
    <w:uiPriority w:val="0"/>
    <w:qFormat/>
    <w:pPr>
      <w:keepLines/>
      <w:keepNext/>
      <w:spacing w:before="320" w:after="200"/>
      <w:outlineLvl w:val="7"/>
    </w:pPr>
    <w:rPr>
      <w:rFonts w:ascii="Arial" w:hAnsi="Arial" w:eastAsia="Arial"/>
      <w:i/>
      <w:iCs/>
      <w:sz w:val="22"/>
      <w:szCs w:val="22"/>
    </w:rPr>
  </w:style>
  <w:style w:type="paragraph" w:styleId="738" w:customStyle="1">
    <w:name w:val="标题 91"/>
    <w:basedOn w:val="664"/>
    <w:next w:val="664"/>
    <w:link w:val="749"/>
    <w:uiPriority w:val="0"/>
    <w:qFormat/>
    <w:pPr>
      <w:keepLines/>
      <w:keepNext/>
      <w:spacing w:before="320" w:after="200"/>
      <w:outlineLvl w:val="8"/>
    </w:pPr>
    <w:rPr>
      <w:rFonts w:ascii="Arial" w:hAnsi="Arial" w:eastAsia="Arial"/>
      <w:i/>
      <w:iCs/>
      <w:szCs w:val="21"/>
    </w:rPr>
  </w:style>
  <w:style w:type="character" w:styleId="739" w:customStyle="1">
    <w:name w:val="默认段落字体11"/>
    <w:uiPriority w:val="0"/>
    <w:qFormat/>
    <w:rPr>
      <w:rFonts w:ascii="Times New Roman" w:hAnsi="Times New Roman" w:eastAsia="宋体"/>
    </w:rPr>
  </w:style>
  <w:style w:type="table" w:styleId="740" w:customStyle="1">
    <w:name w:val="普通表格11"/>
    <w:uiPriority w:val="0"/>
    <w:qFormat/>
    <w:tblPr>
      <w:tblCellMar>
        <w:left w:w="0" w:type="dxa"/>
        <w:top w:w="0" w:type="dxa"/>
        <w:right w:w="0" w:type="dxa"/>
        <w:bottom w:w="0" w:type="dxa"/>
      </w:tblCellMar>
    </w:tblPr>
  </w:style>
  <w:style w:type="character" w:styleId="741" w:customStyle="1">
    <w:name w:val="标题 1 Char1"/>
    <w:link w:val="707"/>
    <w:uiPriority w:val="0"/>
    <w:qFormat/>
    <w:rPr>
      <w:rFonts w:ascii="Arial" w:hAnsi="Arial" w:eastAsia="Arial" w:cs="Arial"/>
      <w:sz w:val="40"/>
      <w:szCs w:val="40"/>
    </w:rPr>
  </w:style>
  <w:style w:type="character" w:styleId="742" w:customStyle="1">
    <w:name w:val="标题 2 Char1"/>
    <w:link w:val="731"/>
    <w:uiPriority w:val="0"/>
    <w:qFormat/>
    <w:rPr>
      <w:rFonts w:ascii="Arial" w:hAnsi="Arial" w:eastAsia="Arial" w:cs="Arial"/>
      <w:sz w:val="34"/>
    </w:rPr>
  </w:style>
  <w:style w:type="character" w:styleId="743" w:customStyle="1">
    <w:name w:val="标题 3 Char1"/>
    <w:link w:val="732"/>
    <w:uiPriority w:val="0"/>
    <w:qFormat/>
    <w:rPr>
      <w:rFonts w:ascii="Arial" w:hAnsi="Arial" w:eastAsia="Arial" w:cs="Arial"/>
      <w:sz w:val="30"/>
      <w:szCs w:val="30"/>
    </w:rPr>
  </w:style>
  <w:style w:type="character" w:styleId="744" w:customStyle="1">
    <w:name w:val="标题 4 Char1"/>
    <w:link w:val="733"/>
    <w:uiPriority w:val="0"/>
    <w:qFormat/>
    <w:rPr>
      <w:rFonts w:ascii="Arial" w:hAnsi="Arial" w:eastAsia="Arial" w:cs="Arial"/>
      <w:b/>
      <w:bCs/>
      <w:sz w:val="26"/>
      <w:szCs w:val="26"/>
    </w:rPr>
  </w:style>
  <w:style w:type="character" w:styleId="745" w:customStyle="1">
    <w:name w:val="标题 5 Char"/>
    <w:link w:val="734"/>
    <w:uiPriority w:val="0"/>
    <w:qFormat/>
    <w:rPr>
      <w:rFonts w:ascii="Arial" w:hAnsi="Arial" w:eastAsia="Arial" w:cs="Arial"/>
      <w:b/>
      <w:bCs/>
      <w:sz w:val="24"/>
      <w:szCs w:val="24"/>
    </w:rPr>
  </w:style>
  <w:style w:type="character" w:styleId="746" w:customStyle="1">
    <w:name w:val="标题 6 Char"/>
    <w:link w:val="735"/>
    <w:uiPriority w:val="0"/>
    <w:qFormat/>
    <w:rPr>
      <w:rFonts w:ascii="Arial" w:hAnsi="Arial" w:eastAsia="Arial" w:cs="Arial"/>
      <w:b/>
      <w:bCs/>
      <w:sz w:val="22"/>
      <w:szCs w:val="22"/>
    </w:rPr>
  </w:style>
  <w:style w:type="character" w:styleId="747" w:customStyle="1">
    <w:name w:val="标题 7 Char"/>
    <w:link w:val="736"/>
    <w:uiPriority w:val="0"/>
    <w:qFormat/>
    <w:rPr>
      <w:rFonts w:ascii="Arial" w:hAnsi="Arial" w:eastAsia="Arial" w:cs="Arial"/>
      <w:b/>
      <w:bCs/>
      <w:i/>
      <w:iCs/>
      <w:sz w:val="22"/>
      <w:szCs w:val="22"/>
    </w:rPr>
  </w:style>
  <w:style w:type="character" w:styleId="748" w:customStyle="1">
    <w:name w:val="标题 8 Char"/>
    <w:link w:val="737"/>
    <w:uiPriority w:val="0"/>
    <w:qFormat/>
    <w:rPr>
      <w:rFonts w:ascii="Arial" w:hAnsi="Arial" w:eastAsia="Arial" w:cs="Arial"/>
      <w:i/>
      <w:iCs/>
      <w:sz w:val="22"/>
      <w:szCs w:val="22"/>
    </w:rPr>
  </w:style>
  <w:style w:type="character" w:styleId="749" w:customStyle="1">
    <w:name w:val="标题 9 Char"/>
    <w:link w:val="738"/>
    <w:uiPriority w:val="0"/>
    <w:qFormat/>
    <w:rPr>
      <w:rFonts w:ascii="Arial" w:hAnsi="Arial" w:eastAsia="Arial" w:cs="Arial"/>
      <w:i/>
      <w:iCs/>
      <w:sz w:val="21"/>
      <w:szCs w:val="21"/>
    </w:rPr>
  </w:style>
  <w:style w:type="paragraph" w:styleId="750" w:customStyle="1">
    <w:name w:val="目录 71"/>
    <w:basedOn w:val="664"/>
    <w:next w:val="664"/>
    <w:uiPriority w:val="0"/>
    <w:qFormat/>
    <w:pPr>
      <w:ind w:left="1701"/>
      <w:spacing w:after="57"/>
    </w:pPr>
  </w:style>
  <w:style w:type="paragraph" w:styleId="751" w:customStyle="1">
    <w:name w:val="正文缩进11"/>
    <w:basedOn w:val="664"/>
    <w:uiPriority w:val="0"/>
    <w:qFormat/>
    <w:pPr>
      <w:ind w:firstLine="420"/>
      <w:jc w:val="left"/>
      <w:widowControl/>
    </w:pPr>
    <w:rPr>
      <w:sz w:val="20"/>
    </w:rPr>
  </w:style>
  <w:style w:type="paragraph" w:styleId="752" w:customStyle="1">
    <w:name w:val="题注1"/>
    <w:basedOn w:val="664"/>
    <w:next w:val="664"/>
    <w:uiPriority w:val="0"/>
    <w:qFormat/>
    <w:pPr>
      <w:spacing w:line="276" w:lineRule="auto"/>
    </w:pPr>
    <w:rPr>
      <w:b/>
      <w:bCs/>
      <w:color w:val="4f81bd"/>
      <w:sz w:val="18"/>
      <w:szCs w:val="18"/>
    </w:rPr>
  </w:style>
  <w:style w:type="paragraph" w:styleId="753" w:customStyle="1">
    <w:name w:val="引文目录标题1"/>
    <w:basedOn w:val="664"/>
    <w:next w:val="664"/>
    <w:uiPriority w:val="0"/>
    <w:qFormat/>
    <w:pPr>
      <w:jc w:val="center"/>
      <w:spacing w:line="360" w:lineRule="atLeast"/>
    </w:pPr>
    <w:rPr>
      <w:rFonts w:ascii="Arial" w:hAnsi="Arial" w:eastAsia="黑体"/>
      <w:sz w:val="36"/>
      <w:szCs w:val="20"/>
    </w:rPr>
  </w:style>
  <w:style w:type="paragraph" w:styleId="754" w:customStyle="1">
    <w:name w:val="批注文字11"/>
    <w:basedOn w:val="664"/>
    <w:link w:val="755"/>
    <w:uiPriority w:val="0"/>
    <w:qFormat/>
    <w:pPr>
      <w:jc w:val="left"/>
    </w:pPr>
  </w:style>
  <w:style w:type="character" w:styleId="755" w:customStyle="1">
    <w:name w:val="批注文字 Char"/>
    <w:basedOn w:val="739"/>
    <w:link w:val="754"/>
    <w:uiPriority w:val="0"/>
    <w:qFormat/>
    <w:rPr>
      <w:rFonts w:ascii="Times New Roman" w:hAnsi="Times New Roman" w:eastAsia="宋体"/>
      <w:sz w:val="21"/>
      <w:szCs w:val="24"/>
    </w:rPr>
  </w:style>
  <w:style w:type="paragraph" w:styleId="756" w:customStyle="1">
    <w:name w:val="正文文本111"/>
    <w:basedOn w:val="664"/>
    <w:next w:val="706"/>
    <w:uiPriority w:val="0"/>
    <w:qFormat/>
    <w:rPr>
      <w:rFonts w:ascii="方正仿宋_GB2312" w:hAnsi="Arial"/>
      <w:sz w:val="28"/>
      <w:szCs w:val="28"/>
    </w:rPr>
  </w:style>
  <w:style w:type="paragraph" w:styleId="757" w:customStyle="1">
    <w:name w:val="正文文本缩进11"/>
    <w:basedOn w:val="664"/>
    <w:next w:val="758"/>
    <w:uiPriority w:val="0"/>
    <w:qFormat/>
    <w:pPr>
      <w:ind w:left="420"/>
      <w:spacing w:after="120"/>
    </w:pPr>
  </w:style>
  <w:style w:type="paragraph" w:styleId="758" w:customStyle="1">
    <w:name w:val="寄信人地址1"/>
    <w:basedOn w:val="664"/>
    <w:uiPriority w:val="0"/>
    <w:qFormat/>
    <w:rPr>
      <w:rFonts w:ascii="Arial" w:hAnsi="Arial"/>
    </w:rPr>
  </w:style>
  <w:style w:type="paragraph" w:styleId="759" w:customStyle="1">
    <w:name w:val="目录 51"/>
    <w:basedOn w:val="664"/>
    <w:next w:val="664"/>
    <w:uiPriority w:val="0"/>
    <w:qFormat/>
    <w:pPr>
      <w:ind w:left="1134"/>
      <w:spacing w:after="57"/>
    </w:pPr>
  </w:style>
  <w:style w:type="paragraph" w:styleId="760" w:customStyle="1">
    <w:name w:val="目录 31"/>
    <w:basedOn w:val="664"/>
    <w:next w:val="664"/>
    <w:uiPriority w:val="0"/>
    <w:qFormat/>
    <w:pPr>
      <w:ind w:left="567"/>
      <w:spacing w:after="57"/>
    </w:pPr>
  </w:style>
  <w:style w:type="paragraph" w:styleId="761" w:customStyle="1">
    <w:name w:val="目录 81"/>
    <w:basedOn w:val="664"/>
    <w:next w:val="664"/>
    <w:uiPriority w:val="0"/>
    <w:qFormat/>
    <w:pPr>
      <w:ind w:left="1984"/>
      <w:spacing w:after="57"/>
    </w:pPr>
  </w:style>
  <w:style w:type="paragraph" w:styleId="762" w:customStyle="1">
    <w:name w:val="正文文本缩进 211"/>
    <w:basedOn w:val="664"/>
    <w:uiPriority w:val="0"/>
    <w:qFormat/>
    <w:pPr>
      <w:ind w:firstLine="560"/>
      <w:spacing w:line="500" w:lineRule="exact"/>
    </w:pPr>
    <w:rPr>
      <w:rFonts w:eastAsia="仿宋_GB2312"/>
      <w:sz w:val="28"/>
      <w:szCs w:val="20"/>
    </w:rPr>
  </w:style>
  <w:style w:type="paragraph" w:styleId="763" w:customStyle="1">
    <w:name w:val="尾注文本1"/>
    <w:basedOn w:val="664"/>
    <w:link w:val="764"/>
    <w:uiPriority w:val="0"/>
    <w:qFormat/>
    <w:rPr>
      <w:sz w:val="20"/>
      <w:szCs w:val="20"/>
    </w:rPr>
  </w:style>
  <w:style w:type="character" w:styleId="764" w:customStyle="1">
    <w:name w:val="尾注文本 Char"/>
    <w:link w:val="763"/>
    <w:uiPriority w:val="0"/>
    <w:qFormat/>
    <w:rPr>
      <w:rFonts w:ascii="Times New Roman" w:hAnsi="Times New Roman" w:eastAsia="宋体" w:cs="Times New Roman"/>
      <w:sz w:val="20"/>
    </w:rPr>
  </w:style>
  <w:style w:type="paragraph" w:styleId="765" w:customStyle="1">
    <w:name w:val="批注框文本11"/>
    <w:basedOn w:val="664"/>
    <w:link w:val="766"/>
    <w:uiPriority w:val="0"/>
    <w:qFormat/>
    <w:rPr>
      <w:sz w:val="18"/>
      <w:szCs w:val="18"/>
    </w:rPr>
  </w:style>
  <w:style w:type="character" w:styleId="766" w:customStyle="1">
    <w:name w:val="批注框文本 Char1"/>
    <w:basedOn w:val="739"/>
    <w:link w:val="765"/>
    <w:uiPriority w:val="0"/>
    <w:qFormat/>
    <w:rPr>
      <w:rFonts w:ascii="Times New Roman" w:hAnsi="Times New Roman" w:eastAsia="宋体"/>
      <w:sz w:val="18"/>
      <w:szCs w:val="18"/>
    </w:rPr>
  </w:style>
  <w:style w:type="paragraph" w:styleId="767" w:customStyle="1">
    <w:name w:val="页脚11"/>
    <w:basedOn w:val="664"/>
    <w:link w:val="768"/>
    <w:uiPriority w:val="0"/>
    <w:qFormat/>
    <w:pPr>
      <w:tabs>
        <w:tab w:val="center" w:pos="7143" w:leader="none"/>
        <w:tab w:val="right" w:pos="14287" w:leader="none"/>
      </w:tabs>
    </w:pPr>
    <w:rPr>
      <w:sz w:val="20"/>
      <w:szCs w:val="20"/>
    </w:rPr>
  </w:style>
  <w:style w:type="character" w:styleId="768" w:customStyle="1">
    <w:name w:val="页脚 Char1"/>
    <w:link w:val="767"/>
    <w:uiPriority w:val="0"/>
    <w:qFormat/>
    <w:rPr>
      <w:rFonts w:ascii="Times New Roman" w:hAnsi="Times New Roman" w:eastAsia="宋体" w:cs="Times New Roman"/>
    </w:rPr>
  </w:style>
  <w:style w:type="paragraph" w:styleId="769" w:customStyle="1">
    <w:name w:val="页眉11"/>
    <w:basedOn w:val="664"/>
    <w:link w:val="770"/>
    <w:uiPriority w:val="0"/>
    <w:qFormat/>
    <w:pPr>
      <w:tabs>
        <w:tab w:val="center" w:pos="7143" w:leader="none"/>
        <w:tab w:val="right" w:pos="14287" w:leader="none"/>
      </w:tabs>
    </w:pPr>
    <w:rPr>
      <w:sz w:val="20"/>
      <w:szCs w:val="20"/>
    </w:rPr>
  </w:style>
  <w:style w:type="character" w:styleId="770" w:customStyle="1">
    <w:name w:val="页眉 Char1"/>
    <w:link w:val="769"/>
    <w:uiPriority w:val="0"/>
    <w:qFormat/>
    <w:rPr>
      <w:rFonts w:ascii="Times New Roman" w:hAnsi="Times New Roman" w:eastAsia="宋体" w:cs="Times New Roman"/>
    </w:rPr>
  </w:style>
  <w:style w:type="paragraph" w:styleId="771" w:customStyle="1">
    <w:name w:val="目录 11"/>
    <w:basedOn w:val="664"/>
    <w:next w:val="664"/>
    <w:uiPriority w:val="0"/>
    <w:qFormat/>
    <w:pPr>
      <w:spacing w:after="57"/>
    </w:pPr>
  </w:style>
  <w:style w:type="paragraph" w:styleId="772" w:customStyle="1">
    <w:name w:val="目录 41"/>
    <w:basedOn w:val="664"/>
    <w:next w:val="664"/>
    <w:uiPriority w:val="0"/>
    <w:qFormat/>
    <w:pPr>
      <w:ind w:left="850"/>
      <w:spacing w:after="57"/>
    </w:pPr>
  </w:style>
  <w:style w:type="paragraph" w:styleId="773" w:customStyle="1">
    <w:name w:val="副标题1"/>
    <w:basedOn w:val="664"/>
    <w:next w:val="664"/>
    <w:link w:val="774"/>
    <w:uiPriority w:val="0"/>
    <w:qFormat/>
    <w:pPr>
      <w:spacing w:before="200" w:after="200"/>
    </w:pPr>
    <w:rPr>
      <w:sz w:val="24"/>
    </w:rPr>
  </w:style>
  <w:style w:type="character" w:styleId="774" w:customStyle="1">
    <w:name w:val="副标题 Char"/>
    <w:link w:val="773"/>
    <w:uiPriority w:val="0"/>
    <w:qFormat/>
    <w:rPr>
      <w:rFonts w:ascii="Times New Roman" w:hAnsi="Times New Roman" w:eastAsia="宋体" w:cs="Times New Roman"/>
      <w:sz w:val="24"/>
      <w:szCs w:val="24"/>
    </w:rPr>
  </w:style>
  <w:style w:type="paragraph" w:styleId="775" w:customStyle="1">
    <w:name w:val="脚注文本1"/>
    <w:basedOn w:val="664"/>
    <w:link w:val="776"/>
    <w:uiPriority w:val="0"/>
    <w:qFormat/>
    <w:pPr>
      <w:spacing w:after="40"/>
    </w:pPr>
    <w:rPr>
      <w:sz w:val="18"/>
      <w:szCs w:val="20"/>
    </w:rPr>
  </w:style>
  <w:style w:type="character" w:styleId="776" w:customStyle="1">
    <w:name w:val="脚注文本 Char"/>
    <w:link w:val="775"/>
    <w:uiPriority w:val="0"/>
    <w:qFormat/>
    <w:rPr>
      <w:rFonts w:ascii="Times New Roman" w:hAnsi="Times New Roman" w:eastAsia="宋体" w:cs="Times New Roman"/>
      <w:sz w:val="18"/>
    </w:rPr>
  </w:style>
  <w:style w:type="paragraph" w:styleId="777" w:customStyle="1">
    <w:name w:val="目录 61"/>
    <w:basedOn w:val="664"/>
    <w:next w:val="664"/>
    <w:uiPriority w:val="0"/>
    <w:qFormat/>
    <w:pPr>
      <w:ind w:left="1417"/>
      <w:spacing w:after="57"/>
    </w:pPr>
  </w:style>
  <w:style w:type="paragraph" w:styleId="778" w:customStyle="1">
    <w:name w:val="正文文本缩进 311"/>
    <w:basedOn w:val="664"/>
    <w:next w:val="753"/>
    <w:uiPriority w:val="0"/>
    <w:qFormat/>
    <w:pPr>
      <w:ind w:left="840"/>
      <w:spacing w:line="360" w:lineRule="auto"/>
    </w:pPr>
    <w:rPr>
      <w:sz w:val="16"/>
      <w:szCs w:val="16"/>
    </w:rPr>
  </w:style>
  <w:style w:type="paragraph" w:styleId="779" w:customStyle="1">
    <w:name w:val="图表目录1"/>
    <w:basedOn w:val="664"/>
    <w:next w:val="664"/>
    <w:uiPriority w:val="0"/>
    <w:qFormat/>
  </w:style>
  <w:style w:type="paragraph" w:styleId="780" w:customStyle="1">
    <w:name w:val="目录 21"/>
    <w:basedOn w:val="664"/>
    <w:next w:val="664"/>
    <w:uiPriority w:val="0"/>
    <w:qFormat/>
    <w:pPr>
      <w:ind w:left="283"/>
      <w:spacing w:after="57"/>
    </w:pPr>
  </w:style>
  <w:style w:type="paragraph" w:styleId="781" w:customStyle="1">
    <w:name w:val="目录 91"/>
    <w:basedOn w:val="664"/>
    <w:next w:val="664"/>
    <w:uiPriority w:val="0"/>
    <w:qFormat/>
    <w:pPr>
      <w:ind w:left="2268"/>
      <w:spacing w:after="57"/>
    </w:pPr>
  </w:style>
  <w:style w:type="paragraph" w:styleId="782" w:customStyle="1">
    <w:name w:val="普通(网站)11"/>
    <w:basedOn w:val="664"/>
    <w:uiPriority w:val="0"/>
    <w:qFormat/>
    <w:pPr>
      <w:jc w:val="left"/>
      <w:spacing w:before="100" w:beforeAutospacing="1" w:after="100" w:afterAutospacing="1"/>
      <w:widowControl/>
    </w:pPr>
    <w:rPr>
      <w:rFonts w:ascii="宋体" w:hAnsi="宋体" w:cs="宋体"/>
      <w:sz w:val="24"/>
    </w:rPr>
  </w:style>
  <w:style w:type="paragraph" w:styleId="783" w:customStyle="1">
    <w:name w:val="标题1"/>
    <w:basedOn w:val="664"/>
    <w:next w:val="664"/>
    <w:link w:val="784"/>
    <w:uiPriority w:val="0"/>
    <w:qFormat/>
    <w:pPr>
      <w:contextualSpacing/>
      <w:spacing w:before="300" w:after="200"/>
    </w:pPr>
    <w:rPr>
      <w:sz w:val="48"/>
      <w:szCs w:val="48"/>
    </w:rPr>
  </w:style>
  <w:style w:type="character" w:styleId="784" w:customStyle="1">
    <w:name w:val="标题 Char"/>
    <w:link w:val="783"/>
    <w:uiPriority w:val="0"/>
    <w:qFormat/>
    <w:rPr>
      <w:rFonts w:ascii="Times New Roman" w:hAnsi="Times New Roman" w:eastAsia="宋体" w:cs="Times New Roman"/>
      <w:sz w:val="48"/>
      <w:szCs w:val="48"/>
    </w:rPr>
  </w:style>
  <w:style w:type="paragraph" w:styleId="785" w:customStyle="1">
    <w:name w:val="批注主题1"/>
    <w:basedOn w:val="754"/>
    <w:next w:val="754"/>
    <w:link w:val="786"/>
    <w:uiPriority w:val="0"/>
    <w:qFormat/>
    <w:rPr>
      <w:b/>
      <w:bCs/>
    </w:rPr>
  </w:style>
  <w:style w:type="character" w:styleId="786" w:customStyle="1">
    <w:name w:val="批注主题 Char"/>
    <w:basedOn w:val="755"/>
    <w:link w:val="785"/>
    <w:uiPriority w:val="0"/>
    <w:qFormat/>
    <w:rPr>
      <w:rFonts w:ascii="Times New Roman" w:hAnsi="Times New Roman" w:eastAsia="宋体"/>
      <w:sz w:val="21"/>
      <w:szCs w:val="24"/>
    </w:rPr>
  </w:style>
  <w:style w:type="paragraph" w:styleId="787" w:customStyle="1">
    <w:name w:val="正文首行缩进11"/>
    <w:basedOn w:val="756"/>
    <w:uiPriority w:val="0"/>
    <w:qFormat/>
    <w:pPr>
      <w:ind w:firstLine="200"/>
      <w:spacing w:line="360" w:lineRule="auto"/>
    </w:pPr>
    <w:rPr>
      <w:rFonts w:ascii="仿宋_GB2312" w:hAnsi="Times New Roman" w:eastAsia="仿宋_GB2312"/>
      <w:sz w:val="30"/>
      <w:szCs w:val="30"/>
    </w:rPr>
  </w:style>
  <w:style w:type="paragraph" w:styleId="788" w:customStyle="1">
    <w:name w:val="正文首行缩进 211"/>
    <w:basedOn w:val="757"/>
    <w:next w:val="778"/>
    <w:uiPriority w:val="0"/>
    <w:qFormat/>
    <w:pPr>
      <w:ind w:firstLine="200"/>
    </w:pPr>
  </w:style>
  <w:style w:type="table" w:styleId="789" w:customStyle="1">
    <w:name w:val="网格型11"/>
    <w:uiPriority w:val="0"/>
    <w:qFormat/>
    <w:tblPr>
      <w:tblCellMar>
        <w:left w:w="0" w:type="dxa"/>
        <w:top w:w="0" w:type="dxa"/>
        <w:right w:w="0" w:type="dxa"/>
        <w:bottom w:w="0" w:type="dxa"/>
      </w:tblCellMar>
    </w:tblPr>
  </w:style>
  <w:style w:type="character" w:styleId="790" w:customStyle="1">
    <w:name w:val="要点11"/>
    <w:basedOn w:val="739"/>
    <w:uiPriority w:val="0"/>
    <w:qFormat/>
    <w:rPr>
      <w:rFonts w:ascii="Times New Roman" w:hAnsi="Times New Roman" w:eastAsia="宋体"/>
      <w:b/>
      <w:bCs/>
    </w:rPr>
  </w:style>
  <w:style w:type="character" w:styleId="791" w:customStyle="1">
    <w:name w:val="尾注引用1"/>
    <w:uiPriority w:val="0"/>
    <w:qFormat/>
    <w:rPr>
      <w:rFonts w:ascii="Times New Roman" w:hAnsi="Times New Roman" w:eastAsia="宋体" w:cs="Times New Roman"/>
      <w:vertAlign w:val="superscript"/>
    </w:rPr>
  </w:style>
  <w:style w:type="character" w:styleId="792" w:customStyle="1">
    <w:name w:val="超链接11"/>
    <w:uiPriority w:val="0"/>
    <w:qFormat/>
    <w:rPr>
      <w:rFonts w:ascii="Times New Roman" w:hAnsi="Times New Roman" w:eastAsia="宋体" w:cs="Times New Roman"/>
      <w:color w:val="0000ff"/>
      <w:u w:val="single"/>
    </w:rPr>
  </w:style>
  <w:style w:type="character" w:styleId="793" w:customStyle="1">
    <w:name w:val="批注引用11"/>
    <w:basedOn w:val="739"/>
    <w:uiPriority w:val="0"/>
    <w:qFormat/>
    <w:rPr>
      <w:rFonts w:ascii="Times New Roman" w:hAnsi="Times New Roman" w:eastAsia="宋体"/>
      <w:sz w:val="21"/>
      <w:szCs w:val="21"/>
    </w:rPr>
  </w:style>
  <w:style w:type="character" w:styleId="794" w:customStyle="1">
    <w:name w:val="脚注引用1"/>
    <w:uiPriority w:val="0"/>
    <w:qFormat/>
    <w:rPr>
      <w:rFonts w:ascii="Times New Roman" w:hAnsi="Times New Roman" w:eastAsia="宋体" w:cs="Times New Roman"/>
      <w:vertAlign w:val="superscript"/>
    </w:rPr>
  </w:style>
  <w:style w:type="paragraph" w:styleId="795" w:customStyle="1">
    <w:name w:val="style4"/>
    <w:basedOn w:val="664"/>
    <w:next w:val="796"/>
    <w:uiPriority w:val="99"/>
    <w:qFormat/>
    <w:pPr>
      <w:spacing w:before="280" w:after="280"/>
      <w:widowControl/>
    </w:pPr>
    <w:rPr>
      <w:rFonts w:ascii="宋体"/>
      <w:sz w:val="18"/>
    </w:rPr>
  </w:style>
  <w:style w:type="paragraph" w:styleId="796" w:customStyle="1">
    <w:name w:val="2"/>
    <w:next w:val="664"/>
    <w:uiPriority w:val="99"/>
    <w:qFormat/>
    <w:pPr>
      <w:jc w:val="both"/>
      <w:widowControl w:val="off"/>
    </w:pPr>
    <w:rPr>
      <w:rFonts w:ascii="Times New Roman" w:hAnsi="Times New Roman" w:eastAsia="宋体" w:cs="Times New Roman"/>
      <w:sz w:val="21"/>
      <w:szCs w:val="22"/>
      <w:lang w:val="en-US" w:eastAsia="zh-CN" w:bidi="ar-SA"/>
    </w:rPr>
  </w:style>
  <w:style w:type="character" w:styleId="797" w:customStyle="1">
    <w:name w:val="批注引用1"/>
    <w:uiPriority w:val="0"/>
    <w:qFormat/>
    <w:rPr>
      <w:sz w:val="21"/>
      <w:szCs w:val="24"/>
      <w:lang w:val="en-US" w:eastAsia="zh-CN" w:bidi="ar-SA"/>
    </w:rPr>
  </w:style>
  <w:style w:type="character" w:styleId="798" w:customStyle="1">
    <w:name w:val="Footer Char_d0c96e29-6c82-493c-bed0-baa0ccce342c"/>
    <w:uiPriority w:val="0"/>
    <w:qFormat/>
    <w:rPr>
      <w:rFonts w:ascii="Times New Roman" w:hAnsi="Times New Roman" w:eastAsia="宋体" w:cs="Times New Roman"/>
    </w:rPr>
  </w:style>
  <w:style w:type="character" w:styleId="799" w:customStyle="1">
    <w:name w:val="NormalCharacter1"/>
    <w:uiPriority w:val="0"/>
    <w:qFormat/>
    <w:rPr>
      <w:rFonts w:ascii="Times New Roman" w:hAnsi="Times New Roman" w:eastAsia="宋体" w:cs="Times New Roman"/>
    </w:rPr>
  </w:style>
  <w:style w:type="character" w:styleId="800" w:customStyle="1">
    <w:name w:val="页眉 Char"/>
    <w:link w:val="801"/>
    <w:uiPriority w:val="0"/>
    <w:qFormat/>
    <w:rPr>
      <w:rFonts w:ascii="Times New Roman" w:hAnsi="Times New Roman" w:eastAsia="宋体" w:cs="Times New Roman"/>
      <w:sz w:val="18"/>
      <w:szCs w:val="18"/>
    </w:rPr>
  </w:style>
  <w:style w:type="paragraph" w:styleId="801" w:customStyle="1">
    <w:name w:val="页眉1"/>
    <w:basedOn w:val="664"/>
    <w:link w:val="800"/>
    <w:uiPriority w:val="0"/>
    <w:qFormat/>
    <w:pPr>
      <w:jc w:val="center"/>
      <w:tabs>
        <w:tab w:val="center" w:pos="4153" w:leader="none"/>
        <w:tab w:val="right" w:pos="8306" w:leader="none"/>
      </w:tabs>
      <w:pBdr>
        <w:bottom w:val="single" w:color="000000" w:sz="6" w:space="1"/>
      </w:pBdr>
    </w:pPr>
    <w:rPr>
      <w:sz w:val="18"/>
      <w:szCs w:val="18"/>
    </w:rPr>
  </w:style>
  <w:style w:type="character" w:styleId="802" w:customStyle="1">
    <w:name w:val="页脚 Char"/>
    <w:link w:val="803"/>
    <w:uiPriority w:val="0"/>
    <w:qFormat/>
    <w:rPr>
      <w:rFonts w:ascii="Times New Roman" w:hAnsi="Times New Roman" w:eastAsia="宋体" w:cs="Times New Roman"/>
      <w:sz w:val="18"/>
      <w:szCs w:val="18"/>
    </w:rPr>
  </w:style>
  <w:style w:type="paragraph" w:styleId="803" w:customStyle="1">
    <w:name w:val="页脚1"/>
    <w:basedOn w:val="664"/>
    <w:link w:val="802"/>
    <w:uiPriority w:val="0"/>
    <w:qFormat/>
    <w:pPr>
      <w:jc w:val="left"/>
      <w:tabs>
        <w:tab w:val="center" w:pos="4153" w:leader="none"/>
        <w:tab w:val="right" w:pos="8306" w:leader="none"/>
      </w:tabs>
    </w:pPr>
    <w:rPr>
      <w:sz w:val="18"/>
      <w:szCs w:val="18"/>
    </w:rPr>
  </w:style>
  <w:style w:type="paragraph" w:styleId="804" w:customStyle="1">
    <w:name w:val="正文文本缩进 21"/>
    <w:basedOn w:val="664"/>
    <w:uiPriority w:val="0"/>
    <w:qFormat/>
    <w:pPr>
      <w:ind w:firstLine="560"/>
      <w:spacing w:line="500" w:lineRule="exact"/>
    </w:pPr>
    <w:rPr>
      <w:rFonts w:eastAsia="仿宋_GB2312"/>
      <w:sz w:val="28"/>
      <w:szCs w:val="20"/>
    </w:rPr>
  </w:style>
  <w:style w:type="paragraph" w:styleId="805" w:customStyle="1">
    <w:name w:val="段"/>
    <w:next w:val="664"/>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806" w:customStyle="1">
    <w:name w:val="标题 2 Char"/>
    <w:link w:val="807"/>
    <w:uiPriority w:val="0"/>
    <w:qFormat/>
    <w:rPr>
      <w:rFonts w:ascii="Arial" w:hAnsi="Arial" w:eastAsia="黑体" w:cs="Times New Roman"/>
      <w:b/>
      <w:bCs/>
      <w:sz w:val="32"/>
      <w:szCs w:val="32"/>
    </w:rPr>
  </w:style>
  <w:style w:type="paragraph" w:styleId="807" w:customStyle="1">
    <w:name w:val="标题 21"/>
    <w:basedOn w:val="664"/>
    <w:next w:val="664"/>
    <w:link w:val="806"/>
    <w:uiPriority w:val="0"/>
    <w:qFormat/>
    <w:pPr>
      <w:keepLines/>
      <w:keepNext/>
      <w:spacing w:before="260" w:after="260" w:line="416" w:lineRule="auto"/>
      <w:outlineLvl w:val="1"/>
    </w:pPr>
    <w:rPr>
      <w:rFonts w:ascii="Arial" w:hAnsi="Arial" w:eastAsia="黑体"/>
      <w:b/>
      <w:bCs/>
      <w:sz w:val="32"/>
      <w:szCs w:val="32"/>
    </w:rPr>
  </w:style>
  <w:style w:type="paragraph" w:styleId="808" w:customStyle="1">
    <w:name w:val="纯文本1"/>
    <w:basedOn w:val="664"/>
    <w:uiPriority w:val="0"/>
    <w:qFormat/>
    <w:rPr>
      <w:rFonts w:ascii="宋体" w:hAnsi="Courier New" w:cs="宋体"/>
      <w:szCs w:val="21"/>
    </w:rPr>
  </w:style>
  <w:style w:type="character" w:styleId="809" w:customStyle="1">
    <w:name w:val="font21"/>
    <w:basedOn w:val="739"/>
    <w:uiPriority w:val="0"/>
    <w:qFormat/>
    <w:rPr>
      <w:rFonts w:ascii="Times New Roman" w:hAnsi="Times New Roman" w:eastAsia="宋体" w:cs="Times New Roman"/>
      <w:color w:val="000000"/>
      <w:sz w:val="24"/>
      <w:szCs w:val="24"/>
      <w:u w:val="none"/>
    </w:rPr>
  </w:style>
  <w:style w:type="paragraph" w:styleId="810" w:customStyle="1">
    <w:name w:val="列出段落1"/>
    <w:basedOn w:val="664"/>
    <w:uiPriority w:val="0"/>
    <w:qFormat/>
    <w:pPr>
      <w:contextualSpacing/>
      <w:ind w:left="720"/>
    </w:pPr>
  </w:style>
  <w:style w:type="paragraph" w:styleId="811" w:customStyle="1">
    <w:name w:val="无间隔1"/>
    <w:uiPriority w:val="0"/>
    <w:qFormat/>
    <w:rPr>
      <w:rFonts w:ascii="Times New Roman" w:hAnsi="Times New Roman" w:eastAsia="宋体" w:cs="Times New Roman"/>
      <w:lang w:val="en-US" w:eastAsia="zh-CN" w:bidi="ar-SA"/>
    </w:rPr>
  </w:style>
  <w:style w:type="character" w:styleId="812" w:customStyle="1">
    <w:name w:val="引用 Char"/>
    <w:link w:val="813"/>
    <w:uiPriority w:val="0"/>
    <w:qFormat/>
    <w:rPr>
      <w:rFonts w:ascii="Times New Roman" w:hAnsi="Times New Roman" w:eastAsia="宋体" w:cs="Times New Roman"/>
      <w:i/>
    </w:rPr>
  </w:style>
  <w:style w:type="paragraph" w:styleId="813" w:customStyle="1">
    <w:name w:val="引用1"/>
    <w:basedOn w:val="664"/>
    <w:next w:val="664"/>
    <w:link w:val="812"/>
    <w:uiPriority w:val="0"/>
    <w:qFormat/>
    <w:pPr>
      <w:ind w:left="720" w:right="720"/>
    </w:pPr>
    <w:rPr>
      <w:i/>
      <w:sz w:val="20"/>
      <w:szCs w:val="20"/>
    </w:rPr>
  </w:style>
  <w:style w:type="character" w:styleId="814" w:customStyle="1">
    <w:name w:val="明显引用 Char"/>
    <w:link w:val="815"/>
    <w:uiPriority w:val="0"/>
    <w:qFormat/>
    <w:rPr>
      <w:rFonts w:ascii="Times New Roman" w:hAnsi="Times New Roman" w:eastAsia="宋体" w:cs="Times New Roman"/>
      <w:i/>
    </w:rPr>
  </w:style>
  <w:style w:type="paragraph" w:styleId="815" w:customStyle="1">
    <w:name w:val="明显引用1"/>
    <w:basedOn w:val="664"/>
    <w:next w:val="664"/>
    <w:link w:val="81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table" w:styleId="816" w:customStyle="1">
    <w:name w:val="Table Grid Light"/>
    <w:uiPriority w:val="0"/>
    <w:qFormat/>
    <w:tblPr>
      <w:tblCellMar>
        <w:left w:w="0" w:type="dxa"/>
        <w:top w:w="0" w:type="dxa"/>
        <w:right w:w="0" w:type="dxa"/>
        <w:bottom w:w="0" w:type="dxa"/>
      </w:tblCellMar>
    </w:tblPr>
  </w:style>
  <w:style w:type="table" w:styleId="817" w:customStyle="1">
    <w:name w:val="无格式表格 11"/>
    <w:uiPriority w:val="0"/>
    <w:qFormat/>
    <w:tblPr>
      <w:tblCellMar>
        <w:left w:w="0" w:type="dxa"/>
        <w:top w:w="0" w:type="dxa"/>
        <w:right w:w="0" w:type="dxa"/>
        <w:bottom w:w="0" w:type="dxa"/>
      </w:tblCellMar>
    </w:tblPr>
  </w:style>
  <w:style w:type="table" w:styleId="818" w:customStyle="1">
    <w:name w:val="无格式表格 21"/>
    <w:uiPriority w:val="0"/>
    <w:qFormat/>
    <w:tblPr>
      <w:tblCellMar>
        <w:left w:w="0" w:type="dxa"/>
        <w:top w:w="0" w:type="dxa"/>
        <w:right w:w="0" w:type="dxa"/>
        <w:bottom w:w="0" w:type="dxa"/>
      </w:tblCellMar>
    </w:tblPr>
  </w:style>
  <w:style w:type="table" w:styleId="819" w:customStyle="1">
    <w:name w:val="无格式表格 31"/>
    <w:uiPriority w:val="0"/>
    <w:qFormat/>
    <w:tblPr>
      <w:tblCellMar>
        <w:left w:w="0" w:type="dxa"/>
        <w:top w:w="0" w:type="dxa"/>
        <w:right w:w="0" w:type="dxa"/>
        <w:bottom w:w="0" w:type="dxa"/>
      </w:tblCellMar>
    </w:tblPr>
  </w:style>
  <w:style w:type="table" w:styleId="820" w:customStyle="1">
    <w:name w:val="无格式表格 41"/>
    <w:uiPriority w:val="0"/>
    <w:qFormat/>
    <w:tblPr>
      <w:tblCellMar>
        <w:left w:w="0" w:type="dxa"/>
        <w:top w:w="0" w:type="dxa"/>
        <w:right w:w="0" w:type="dxa"/>
        <w:bottom w:w="0" w:type="dxa"/>
      </w:tblCellMar>
    </w:tblPr>
  </w:style>
  <w:style w:type="table" w:styleId="821" w:customStyle="1">
    <w:name w:val="无格式表格 51"/>
    <w:uiPriority w:val="0"/>
    <w:qFormat/>
    <w:tblPr>
      <w:tblCellMar>
        <w:left w:w="0" w:type="dxa"/>
        <w:top w:w="0" w:type="dxa"/>
        <w:right w:w="0" w:type="dxa"/>
        <w:bottom w:w="0" w:type="dxa"/>
      </w:tblCellMar>
    </w:tblPr>
  </w:style>
  <w:style w:type="table" w:styleId="822" w:customStyle="1">
    <w:name w:val="网格表 1 浅色1"/>
    <w:uiPriority w:val="0"/>
    <w:qFormat/>
    <w:tblPr>
      <w:tblCellMar>
        <w:left w:w="0" w:type="dxa"/>
        <w:top w:w="0" w:type="dxa"/>
        <w:right w:w="0" w:type="dxa"/>
        <w:bottom w:w="0" w:type="dxa"/>
      </w:tblCellMar>
    </w:tblPr>
  </w:style>
  <w:style w:type="table" w:styleId="823" w:customStyle="1">
    <w:name w:val="Grid Table 1 Light - Accent 1"/>
    <w:uiPriority w:val="0"/>
    <w:qFormat/>
    <w:tblPr>
      <w:tblCellMar>
        <w:left w:w="0" w:type="dxa"/>
        <w:top w:w="0" w:type="dxa"/>
        <w:right w:w="0" w:type="dxa"/>
        <w:bottom w:w="0" w:type="dxa"/>
      </w:tblCellMar>
    </w:tblPr>
  </w:style>
  <w:style w:type="table" w:styleId="824" w:customStyle="1">
    <w:name w:val="Grid Table 1 Light - Accent 2"/>
    <w:uiPriority w:val="0"/>
    <w:qFormat/>
    <w:tblPr>
      <w:tblCellMar>
        <w:left w:w="0" w:type="dxa"/>
        <w:top w:w="0" w:type="dxa"/>
        <w:right w:w="0" w:type="dxa"/>
        <w:bottom w:w="0" w:type="dxa"/>
      </w:tblCellMar>
    </w:tblPr>
  </w:style>
  <w:style w:type="table" w:styleId="825" w:customStyle="1">
    <w:name w:val="Grid Table 1 Light - Accent 3"/>
    <w:uiPriority w:val="0"/>
    <w:qFormat/>
    <w:tblPr>
      <w:tblCellMar>
        <w:left w:w="0" w:type="dxa"/>
        <w:top w:w="0" w:type="dxa"/>
        <w:right w:w="0" w:type="dxa"/>
        <w:bottom w:w="0" w:type="dxa"/>
      </w:tblCellMar>
    </w:tblPr>
  </w:style>
  <w:style w:type="table" w:styleId="826" w:customStyle="1">
    <w:name w:val="Grid Table 1 Light - Accent 4"/>
    <w:uiPriority w:val="0"/>
    <w:qFormat/>
    <w:tblPr>
      <w:tblCellMar>
        <w:left w:w="0" w:type="dxa"/>
        <w:top w:w="0" w:type="dxa"/>
        <w:right w:w="0" w:type="dxa"/>
        <w:bottom w:w="0" w:type="dxa"/>
      </w:tblCellMar>
    </w:tblPr>
  </w:style>
  <w:style w:type="table" w:styleId="827" w:customStyle="1">
    <w:name w:val="Grid Table 1 Light - Accent 5"/>
    <w:uiPriority w:val="0"/>
    <w:qFormat/>
    <w:tblPr>
      <w:tblCellMar>
        <w:left w:w="0" w:type="dxa"/>
        <w:top w:w="0" w:type="dxa"/>
        <w:right w:w="0" w:type="dxa"/>
        <w:bottom w:w="0" w:type="dxa"/>
      </w:tblCellMar>
    </w:tblPr>
  </w:style>
  <w:style w:type="table" w:styleId="828" w:customStyle="1">
    <w:name w:val="Grid Table 1 Light - Accent 6"/>
    <w:uiPriority w:val="0"/>
    <w:qFormat/>
    <w:tblPr>
      <w:tblCellMar>
        <w:left w:w="0" w:type="dxa"/>
        <w:top w:w="0" w:type="dxa"/>
        <w:right w:w="0" w:type="dxa"/>
        <w:bottom w:w="0" w:type="dxa"/>
      </w:tblCellMar>
    </w:tblPr>
  </w:style>
  <w:style w:type="table" w:styleId="829" w:customStyle="1">
    <w:name w:val="网格表 21"/>
    <w:uiPriority w:val="0"/>
    <w:qFormat/>
    <w:tblPr>
      <w:tblCellMar>
        <w:left w:w="0" w:type="dxa"/>
        <w:top w:w="0" w:type="dxa"/>
        <w:right w:w="0" w:type="dxa"/>
        <w:bottom w:w="0" w:type="dxa"/>
      </w:tblCellMar>
    </w:tblPr>
  </w:style>
  <w:style w:type="table" w:styleId="830" w:customStyle="1">
    <w:name w:val="Grid Table 2 - Accent 1"/>
    <w:uiPriority w:val="0"/>
    <w:qFormat/>
    <w:tblPr>
      <w:tblCellMar>
        <w:left w:w="0" w:type="dxa"/>
        <w:top w:w="0" w:type="dxa"/>
        <w:right w:w="0" w:type="dxa"/>
        <w:bottom w:w="0" w:type="dxa"/>
      </w:tblCellMar>
    </w:tblPr>
  </w:style>
  <w:style w:type="table" w:styleId="831" w:customStyle="1">
    <w:name w:val="Grid Table 2 - Accent 2"/>
    <w:uiPriority w:val="0"/>
    <w:qFormat/>
    <w:tblPr>
      <w:tblCellMar>
        <w:left w:w="0" w:type="dxa"/>
        <w:top w:w="0" w:type="dxa"/>
        <w:right w:w="0" w:type="dxa"/>
        <w:bottom w:w="0" w:type="dxa"/>
      </w:tblCellMar>
    </w:tblPr>
  </w:style>
  <w:style w:type="table" w:styleId="832" w:customStyle="1">
    <w:name w:val="Grid Table 2 - Accent 3"/>
    <w:uiPriority w:val="0"/>
    <w:qFormat/>
    <w:tblPr>
      <w:tblCellMar>
        <w:left w:w="0" w:type="dxa"/>
        <w:top w:w="0" w:type="dxa"/>
        <w:right w:w="0" w:type="dxa"/>
        <w:bottom w:w="0" w:type="dxa"/>
      </w:tblCellMar>
    </w:tblPr>
  </w:style>
  <w:style w:type="table" w:styleId="833" w:customStyle="1">
    <w:name w:val="Grid Table 2 - Accent 4"/>
    <w:uiPriority w:val="0"/>
    <w:qFormat/>
    <w:tblPr>
      <w:tblCellMar>
        <w:left w:w="0" w:type="dxa"/>
        <w:top w:w="0" w:type="dxa"/>
        <w:right w:w="0" w:type="dxa"/>
        <w:bottom w:w="0" w:type="dxa"/>
      </w:tblCellMar>
    </w:tblPr>
  </w:style>
  <w:style w:type="table" w:styleId="834" w:customStyle="1">
    <w:name w:val="Grid Table 2 - Accent 5"/>
    <w:uiPriority w:val="0"/>
    <w:qFormat/>
    <w:tblPr>
      <w:tblCellMar>
        <w:left w:w="0" w:type="dxa"/>
        <w:top w:w="0" w:type="dxa"/>
        <w:right w:w="0" w:type="dxa"/>
        <w:bottom w:w="0" w:type="dxa"/>
      </w:tblCellMar>
    </w:tblPr>
  </w:style>
  <w:style w:type="table" w:styleId="835" w:customStyle="1">
    <w:name w:val="Grid Table 2 - Accent 6"/>
    <w:uiPriority w:val="0"/>
    <w:qFormat/>
    <w:tblPr>
      <w:tblCellMar>
        <w:left w:w="0" w:type="dxa"/>
        <w:top w:w="0" w:type="dxa"/>
        <w:right w:w="0" w:type="dxa"/>
        <w:bottom w:w="0" w:type="dxa"/>
      </w:tblCellMar>
    </w:tblPr>
  </w:style>
  <w:style w:type="table" w:styleId="836" w:customStyle="1">
    <w:name w:val="网格表 31"/>
    <w:uiPriority w:val="0"/>
    <w:qFormat/>
    <w:tblPr>
      <w:tblCellMar>
        <w:left w:w="0" w:type="dxa"/>
        <w:top w:w="0" w:type="dxa"/>
        <w:right w:w="0" w:type="dxa"/>
        <w:bottom w:w="0" w:type="dxa"/>
      </w:tblCellMar>
    </w:tblPr>
  </w:style>
  <w:style w:type="table" w:styleId="837" w:customStyle="1">
    <w:name w:val="Grid Table 3 - Accent 1"/>
    <w:uiPriority w:val="0"/>
    <w:qFormat/>
    <w:tblPr>
      <w:tblCellMar>
        <w:left w:w="0" w:type="dxa"/>
        <w:top w:w="0" w:type="dxa"/>
        <w:right w:w="0" w:type="dxa"/>
        <w:bottom w:w="0" w:type="dxa"/>
      </w:tblCellMar>
    </w:tblPr>
  </w:style>
  <w:style w:type="table" w:styleId="838" w:customStyle="1">
    <w:name w:val="Grid Table 3 - Accent 2"/>
    <w:uiPriority w:val="0"/>
    <w:qFormat/>
    <w:tblPr>
      <w:tblCellMar>
        <w:left w:w="0" w:type="dxa"/>
        <w:top w:w="0" w:type="dxa"/>
        <w:right w:w="0" w:type="dxa"/>
        <w:bottom w:w="0" w:type="dxa"/>
      </w:tblCellMar>
    </w:tblPr>
  </w:style>
  <w:style w:type="table" w:styleId="839" w:customStyle="1">
    <w:name w:val="Grid Table 3 - Accent 3"/>
    <w:uiPriority w:val="0"/>
    <w:qFormat/>
    <w:tblPr>
      <w:tblCellMar>
        <w:left w:w="0" w:type="dxa"/>
        <w:top w:w="0" w:type="dxa"/>
        <w:right w:w="0" w:type="dxa"/>
        <w:bottom w:w="0" w:type="dxa"/>
      </w:tblCellMar>
    </w:tblPr>
  </w:style>
  <w:style w:type="table" w:styleId="840" w:customStyle="1">
    <w:name w:val="Grid Table 3 - Accent 4"/>
    <w:uiPriority w:val="0"/>
    <w:qFormat/>
    <w:tblPr>
      <w:tblCellMar>
        <w:left w:w="0" w:type="dxa"/>
        <w:top w:w="0" w:type="dxa"/>
        <w:right w:w="0" w:type="dxa"/>
        <w:bottom w:w="0" w:type="dxa"/>
      </w:tblCellMar>
    </w:tblPr>
  </w:style>
  <w:style w:type="table" w:styleId="841" w:customStyle="1">
    <w:name w:val="Grid Table 3 - Accent 5"/>
    <w:uiPriority w:val="0"/>
    <w:qFormat/>
    <w:tblPr>
      <w:tblCellMar>
        <w:left w:w="0" w:type="dxa"/>
        <w:top w:w="0" w:type="dxa"/>
        <w:right w:w="0" w:type="dxa"/>
        <w:bottom w:w="0" w:type="dxa"/>
      </w:tblCellMar>
    </w:tblPr>
  </w:style>
  <w:style w:type="table" w:styleId="842" w:customStyle="1">
    <w:name w:val="Grid Table 3 - Accent 6"/>
    <w:uiPriority w:val="0"/>
    <w:qFormat/>
    <w:tblPr>
      <w:tblCellMar>
        <w:left w:w="0" w:type="dxa"/>
        <w:top w:w="0" w:type="dxa"/>
        <w:right w:w="0" w:type="dxa"/>
        <w:bottom w:w="0" w:type="dxa"/>
      </w:tblCellMar>
    </w:tblPr>
  </w:style>
  <w:style w:type="table" w:styleId="843" w:customStyle="1">
    <w:name w:val="网格表 41"/>
    <w:uiPriority w:val="0"/>
    <w:qFormat/>
    <w:tblPr>
      <w:tblCellMar>
        <w:left w:w="0" w:type="dxa"/>
        <w:top w:w="0" w:type="dxa"/>
        <w:right w:w="0" w:type="dxa"/>
        <w:bottom w:w="0" w:type="dxa"/>
      </w:tblCellMar>
    </w:tblPr>
  </w:style>
  <w:style w:type="table" w:styleId="844" w:customStyle="1">
    <w:name w:val="Grid Table 4 - Accent 1"/>
    <w:uiPriority w:val="0"/>
    <w:qFormat/>
    <w:tblPr>
      <w:tblCellMar>
        <w:left w:w="0" w:type="dxa"/>
        <w:top w:w="0" w:type="dxa"/>
        <w:right w:w="0" w:type="dxa"/>
        <w:bottom w:w="0" w:type="dxa"/>
      </w:tblCellMar>
    </w:tblPr>
  </w:style>
  <w:style w:type="table" w:styleId="845" w:customStyle="1">
    <w:name w:val="Grid Table 4 - Accent 2"/>
    <w:uiPriority w:val="0"/>
    <w:qFormat/>
    <w:tblPr>
      <w:tblCellMar>
        <w:left w:w="0" w:type="dxa"/>
        <w:top w:w="0" w:type="dxa"/>
        <w:right w:w="0" w:type="dxa"/>
        <w:bottom w:w="0" w:type="dxa"/>
      </w:tblCellMar>
    </w:tblPr>
  </w:style>
  <w:style w:type="table" w:styleId="846" w:customStyle="1">
    <w:name w:val="Grid Table 4 - Accent 3"/>
    <w:uiPriority w:val="0"/>
    <w:qFormat/>
    <w:tblPr>
      <w:tblCellMar>
        <w:left w:w="0" w:type="dxa"/>
        <w:top w:w="0" w:type="dxa"/>
        <w:right w:w="0" w:type="dxa"/>
        <w:bottom w:w="0" w:type="dxa"/>
      </w:tblCellMar>
    </w:tblPr>
  </w:style>
  <w:style w:type="table" w:styleId="847" w:customStyle="1">
    <w:name w:val="Grid Table 4 - Accent 4"/>
    <w:uiPriority w:val="0"/>
    <w:qFormat/>
    <w:tblPr>
      <w:tblCellMar>
        <w:left w:w="0" w:type="dxa"/>
        <w:top w:w="0" w:type="dxa"/>
        <w:right w:w="0" w:type="dxa"/>
        <w:bottom w:w="0" w:type="dxa"/>
      </w:tblCellMar>
    </w:tblPr>
  </w:style>
  <w:style w:type="table" w:styleId="848" w:customStyle="1">
    <w:name w:val="Grid Table 4 - Accent 5"/>
    <w:uiPriority w:val="0"/>
    <w:qFormat/>
    <w:tblPr>
      <w:tblCellMar>
        <w:left w:w="0" w:type="dxa"/>
        <w:top w:w="0" w:type="dxa"/>
        <w:right w:w="0" w:type="dxa"/>
        <w:bottom w:w="0" w:type="dxa"/>
      </w:tblCellMar>
    </w:tblPr>
  </w:style>
  <w:style w:type="table" w:styleId="849" w:customStyle="1">
    <w:name w:val="Grid Table 4 - Accent 6"/>
    <w:uiPriority w:val="0"/>
    <w:qFormat/>
    <w:tblPr>
      <w:tblCellMar>
        <w:left w:w="0" w:type="dxa"/>
        <w:top w:w="0" w:type="dxa"/>
        <w:right w:w="0" w:type="dxa"/>
        <w:bottom w:w="0" w:type="dxa"/>
      </w:tblCellMar>
    </w:tblPr>
  </w:style>
  <w:style w:type="table" w:styleId="850" w:customStyle="1">
    <w:name w:val="网格表 5 深色1"/>
    <w:uiPriority w:val="0"/>
    <w:qFormat/>
    <w:tblPr>
      <w:tblCellMar>
        <w:left w:w="0" w:type="dxa"/>
        <w:top w:w="0" w:type="dxa"/>
        <w:right w:w="0" w:type="dxa"/>
        <w:bottom w:w="0" w:type="dxa"/>
      </w:tblCellMar>
    </w:tblPr>
  </w:style>
  <w:style w:type="table" w:styleId="851" w:customStyle="1">
    <w:name w:val="Grid Table 5 Dark- Accent 1"/>
    <w:uiPriority w:val="0"/>
    <w:qFormat/>
    <w:tblPr>
      <w:tblCellMar>
        <w:left w:w="0" w:type="dxa"/>
        <w:top w:w="0" w:type="dxa"/>
        <w:right w:w="0" w:type="dxa"/>
        <w:bottom w:w="0" w:type="dxa"/>
      </w:tblCellMar>
    </w:tblPr>
  </w:style>
  <w:style w:type="table" w:styleId="852" w:customStyle="1">
    <w:name w:val="Grid Table 5 Dark - Accent 2"/>
    <w:uiPriority w:val="0"/>
    <w:qFormat/>
    <w:tblPr>
      <w:tblCellMar>
        <w:left w:w="0" w:type="dxa"/>
        <w:top w:w="0" w:type="dxa"/>
        <w:right w:w="0" w:type="dxa"/>
        <w:bottom w:w="0" w:type="dxa"/>
      </w:tblCellMar>
    </w:tblPr>
  </w:style>
  <w:style w:type="table" w:styleId="853" w:customStyle="1">
    <w:name w:val="Grid Table 5 Dark - Accent 3"/>
    <w:uiPriority w:val="0"/>
    <w:qFormat/>
    <w:tblPr>
      <w:tblCellMar>
        <w:left w:w="0" w:type="dxa"/>
        <w:top w:w="0" w:type="dxa"/>
        <w:right w:w="0" w:type="dxa"/>
        <w:bottom w:w="0" w:type="dxa"/>
      </w:tblCellMar>
    </w:tblPr>
  </w:style>
  <w:style w:type="table" w:styleId="854" w:customStyle="1">
    <w:name w:val="Grid Table 5 Dark- Accent 4"/>
    <w:uiPriority w:val="0"/>
    <w:qFormat/>
    <w:tblPr>
      <w:tblCellMar>
        <w:left w:w="0" w:type="dxa"/>
        <w:top w:w="0" w:type="dxa"/>
        <w:right w:w="0" w:type="dxa"/>
        <w:bottom w:w="0" w:type="dxa"/>
      </w:tblCellMar>
    </w:tblPr>
  </w:style>
  <w:style w:type="table" w:styleId="855" w:customStyle="1">
    <w:name w:val="Grid Table 5 Dark - Accent 5"/>
    <w:uiPriority w:val="0"/>
    <w:qFormat/>
    <w:tblPr>
      <w:tblCellMar>
        <w:left w:w="0" w:type="dxa"/>
        <w:top w:w="0" w:type="dxa"/>
        <w:right w:w="0" w:type="dxa"/>
        <w:bottom w:w="0" w:type="dxa"/>
      </w:tblCellMar>
    </w:tblPr>
  </w:style>
  <w:style w:type="table" w:styleId="856" w:customStyle="1">
    <w:name w:val="Grid Table 5 Dark - Accent 6"/>
    <w:uiPriority w:val="0"/>
    <w:qFormat/>
    <w:tblPr>
      <w:tblCellMar>
        <w:left w:w="0" w:type="dxa"/>
        <w:top w:w="0" w:type="dxa"/>
        <w:right w:w="0" w:type="dxa"/>
        <w:bottom w:w="0" w:type="dxa"/>
      </w:tblCellMar>
    </w:tblPr>
  </w:style>
  <w:style w:type="table" w:styleId="857" w:customStyle="1">
    <w:name w:val="网格表 6 彩色1"/>
    <w:uiPriority w:val="0"/>
    <w:qFormat/>
    <w:tblPr>
      <w:tblCellMar>
        <w:left w:w="0" w:type="dxa"/>
        <w:top w:w="0" w:type="dxa"/>
        <w:right w:w="0" w:type="dxa"/>
        <w:bottom w:w="0" w:type="dxa"/>
      </w:tblCellMar>
    </w:tblPr>
  </w:style>
  <w:style w:type="table" w:styleId="858" w:customStyle="1">
    <w:name w:val="Grid Table 6 Colorful - Accent 1"/>
    <w:uiPriority w:val="0"/>
    <w:qFormat/>
    <w:tblPr>
      <w:tblCellMar>
        <w:left w:w="0" w:type="dxa"/>
        <w:top w:w="0" w:type="dxa"/>
        <w:right w:w="0" w:type="dxa"/>
        <w:bottom w:w="0" w:type="dxa"/>
      </w:tblCellMar>
    </w:tblPr>
  </w:style>
  <w:style w:type="table" w:styleId="859" w:customStyle="1">
    <w:name w:val="Grid Table 6 Colorful - Accent 2"/>
    <w:uiPriority w:val="0"/>
    <w:qFormat/>
    <w:tblPr>
      <w:tblCellMar>
        <w:left w:w="0" w:type="dxa"/>
        <w:top w:w="0" w:type="dxa"/>
        <w:right w:w="0" w:type="dxa"/>
        <w:bottom w:w="0" w:type="dxa"/>
      </w:tblCellMar>
    </w:tblPr>
  </w:style>
  <w:style w:type="table" w:styleId="860" w:customStyle="1">
    <w:name w:val="Grid Table 6 Colorful - Accent 3"/>
    <w:uiPriority w:val="0"/>
    <w:qFormat/>
    <w:tblPr>
      <w:tblCellMar>
        <w:left w:w="0" w:type="dxa"/>
        <w:top w:w="0" w:type="dxa"/>
        <w:right w:w="0" w:type="dxa"/>
        <w:bottom w:w="0" w:type="dxa"/>
      </w:tblCellMar>
    </w:tblPr>
  </w:style>
  <w:style w:type="table" w:styleId="861" w:customStyle="1">
    <w:name w:val="Grid Table 6 Colorful - Accent 4"/>
    <w:uiPriority w:val="0"/>
    <w:qFormat/>
    <w:tblPr>
      <w:tblCellMar>
        <w:left w:w="0" w:type="dxa"/>
        <w:top w:w="0" w:type="dxa"/>
        <w:right w:w="0" w:type="dxa"/>
        <w:bottom w:w="0" w:type="dxa"/>
      </w:tblCellMar>
    </w:tblPr>
  </w:style>
  <w:style w:type="table" w:styleId="862" w:customStyle="1">
    <w:name w:val="Grid Table 6 Colorful - Accent 5"/>
    <w:uiPriority w:val="0"/>
    <w:qFormat/>
    <w:tblPr>
      <w:tblCellMar>
        <w:left w:w="0" w:type="dxa"/>
        <w:top w:w="0" w:type="dxa"/>
        <w:right w:w="0" w:type="dxa"/>
        <w:bottom w:w="0" w:type="dxa"/>
      </w:tblCellMar>
    </w:tblPr>
  </w:style>
  <w:style w:type="table" w:styleId="863" w:customStyle="1">
    <w:name w:val="Grid Table 6 Colorful - Accent 6"/>
    <w:uiPriority w:val="0"/>
    <w:qFormat/>
    <w:tblPr>
      <w:tblCellMar>
        <w:left w:w="0" w:type="dxa"/>
        <w:top w:w="0" w:type="dxa"/>
        <w:right w:w="0" w:type="dxa"/>
        <w:bottom w:w="0" w:type="dxa"/>
      </w:tblCellMar>
    </w:tblPr>
  </w:style>
  <w:style w:type="table" w:styleId="864" w:customStyle="1">
    <w:name w:val="网格表 7 彩色1"/>
    <w:uiPriority w:val="0"/>
    <w:qFormat/>
    <w:tblPr>
      <w:tblCellMar>
        <w:left w:w="0" w:type="dxa"/>
        <w:top w:w="0" w:type="dxa"/>
        <w:right w:w="0" w:type="dxa"/>
        <w:bottom w:w="0" w:type="dxa"/>
      </w:tblCellMar>
    </w:tblPr>
  </w:style>
  <w:style w:type="table" w:styleId="865" w:customStyle="1">
    <w:name w:val="Grid Table 7 Colorful - Accent 1"/>
    <w:uiPriority w:val="0"/>
    <w:qFormat/>
    <w:tblPr>
      <w:tblCellMar>
        <w:left w:w="0" w:type="dxa"/>
        <w:top w:w="0" w:type="dxa"/>
        <w:right w:w="0" w:type="dxa"/>
        <w:bottom w:w="0" w:type="dxa"/>
      </w:tblCellMar>
    </w:tblPr>
  </w:style>
  <w:style w:type="table" w:styleId="866" w:customStyle="1">
    <w:name w:val="Grid Table 7 Colorful - Accent 2"/>
    <w:uiPriority w:val="0"/>
    <w:qFormat/>
    <w:tblPr>
      <w:tblCellMar>
        <w:left w:w="0" w:type="dxa"/>
        <w:top w:w="0" w:type="dxa"/>
        <w:right w:w="0" w:type="dxa"/>
        <w:bottom w:w="0" w:type="dxa"/>
      </w:tblCellMar>
    </w:tblPr>
  </w:style>
  <w:style w:type="table" w:styleId="867" w:customStyle="1">
    <w:name w:val="Grid Table 7 Colorful - Accent 3"/>
    <w:uiPriority w:val="0"/>
    <w:qFormat/>
    <w:tblPr>
      <w:tblCellMar>
        <w:left w:w="0" w:type="dxa"/>
        <w:top w:w="0" w:type="dxa"/>
        <w:right w:w="0" w:type="dxa"/>
        <w:bottom w:w="0" w:type="dxa"/>
      </w:tblCellMar>
    </w:tblPr>
  </w:style>
  <w:style w:type="table" w:styleId="868" w:customStyle="1">
    <w:name w:val="Grid Table 7 Colorful - Accent 4"/>
    <w:uiPriority w:val="0"/>
    <w:qFormat/>
    <w:tblPr>
      <w:tblCellMar>
        <w:left w:w="0" w:type="dxa"/>
        <w:top w:w="0" w:type="dxa"/>
        <w:right w:w="0" w:type="dxa"/>
        <w:bottom w:w="0" w:type="dxa"/>
      </w:tblCellMar>
    </w:tblPr>
  </w:style>
  <w:style w:type="table" w:styleId="869" w:customStyle="1">
    <w:name w:val="Grid Table 7 Colorful - Accent 5"/>
    <w:uiPriority w:val="0"/>
    <w:qFormat/>
    <w:tblPr>
      <w:tblCellMar>
        <w:left w:w="0" w:type="dxa"/>
        <w:top w:w="0" w:type="dxa"/>
        <w:right w:w="0" w:type="dxa"/>
        <w:bottom w:w="0" w:type="dxa"/>
      </w:tblCellMar>
    </w:tblPr>
  </w:style>
  <w:style w:type="table" w:styleId="870" w:customStyle="1">
    <w:name w:val="Grid Table 7 Colorful - Accent 6"/>
    <w:uiPriority w:val="0"/>
    <w:qFormat/>
    <w:tblPr>
      <w:tblCellMar>
        <w:left w:w="0" w:type="dxa"/>
        <w:top w:w="0" w:type="dxa"/>
        <w:right w:w="0" w:type="dxa"/>
        <w:bottom w:w="0" w:type="dxa"/>
      </w:tblCellMar>
    </w:tblPr>
  </w:style>
  <w:style w:type="table" w:styleId="871" w:customStyle="1">
    <w:name w:val="清单表 1 浅色1"/>
    <w:uiPriority w:val="0"/>
    <w:qFormat/>
    <w:tblPr>
      <w:tblCellMar>
        <w:left w:w="0" w:type="dxa"/>
        <w:top w:w="0" w:type="dxa"/>
        <w:right w:w="0" w:type="dxa"/>
        <w:bottom w:w="0" w:type="dxa"/>
      </w:tblCellMar>
    </w:tblPr>
  </w:style>
  <w:style w:type="table" w:styleId="872" w:customStyle="1">
    <w:name w:val="List Table 1 Light - Accent 1"/>
    <w:uiPriority w:val="0"/>
    <w:qFormat/>
    <w:tblPr>
      <w:tblCellMar>
        <w:left w:w="0" w:type="dxa"/>
        <w:top w:w="0" w:type="dxa"/>
        <w:right w:w="0" w:type="dxa"/>
        <w:bottom w:w="0" w:type="dxa"/>
      </w:tblCellMar>
    </w:tblPr>
  </w:style>
  <w:style w:type="table" w:styleId="873" w:customStyle="1">
    <w:name w:val="List Table 1 Light - Accent 2"/>
    <w:uiPriority w:val="0"/>
    <w:qFormat/>
    <w:tblPr>
      <w:tblCellMar>
        <w:left w:w="0" w:type="dxa"/>
        <w:top w:w="0" w:type="dxa"/>
        <w:right w:w="0" w:type="dxa"/>
        <w:bottom w:w="0" w:type="dxa"/>
      </w:tblCellMar>
    </w:tblPr>
  </w:style>
  <w:style w:type="table" w:styleId="874" w:customStyle="1">
    <w:name w:val="List Table 1 Light - Accent 3"/>
    <w:uiPriority w:val="0"/>
    <w:qFormat/>
    <w:tblPr>
      <w:tblCellMar>
        <w:left w:w="0" w:type="dxa"/>
        <w:top w:w="0" w:type="dxa"/>
        <w:right w:w="0" w:type="dxa"/>
        <w:bottom w:w="0" w:type="dxa"/>
      </w:tblCellMar>
    </w:tblPr>
  </w:style>
  <w:style w:type="table" w:styleId="875" w:customStyle="1">
    <w:name w:val="List Table 1 Light - Accent 4"/>
    <w:uiPriority w:val="0"/>
    <w:qFormat/>
    <w:tblPr>
      <w:tblCellMar>
        <w:left w:w="0" w:type="dxa"/>
        <w:top w:w="0" w:type="dxa"/>
        <w:right w:w="0" w:type="dxa"/>
        <w:bottom w:w="0" w:type="dxa"/>
      </w:tblCellMar>
    </w:tblPr>
  </w:style>
  <w:style w:type="table" w:styleId="876" w:customStyle="1">
    <w:name w:val="List Table 1 Light - Accent 5"/>
    <w:uiPriority w:val="0"/>
    <w:qFormat/>
    <w:tblPr>
      <w:tblCellMar>
        <w:left w:w="0" w:type="dxa"/>
        <w:top w:w="0" w:type="dxa"/>
        <w:right w:w="0" w:type="dxa"/>
        <w:bottom w:w="0" w:type="dxa"/>
      </w:tblCellMar>
    </w:tblPr>
  </w:style>
  <w:style w:type="table" w:styleId="877" w:customStyle="1">
    <w:name w:val="List Table 1 Light - Accent 6"/>
    <w:uiPriority w:val="0"/>
    <w:qFormat/>
    <w:tblPr>
      <w:tblCellMar>
        <w:left w:w="0" w:type="dxa"/>
        <w:top w:w="0" w:type="dxa"/>
        <w:right w:w="0" w:type="dxa"/>
        <w:bottom w:w="0" w:type="dxa"/>
      </w:tblCellMar>
    </w:tblPr>
  </w:style>
  <w:style w:type="table" w:styleId="878" w:customStyle="1">
    <w:name w:val="清单表 21"/>
    <w:uiPriority w:val="0"/>
    <w:qFormat/>
    <w:tblPr>
      <w:tblCellMar>
        <w:left w:w="0" w:type="dxa"/>
        <w:top w:w="0" w:type="dxa"/>
        <w:right w:w="0" w:type="dxa"/>
        <w:bottom w:w="0" w:type="dxa"/>
      </w:tblCellMar>
    </w:tblPr>
  </w:style>
  <w:style w:type="table" w:styleId="879" w:customStyle="1">
    <w:name w:val="List Table 2 - Accent 1"/>
    <w:uiPriority w:val="0"/>
    <w:qFormat/>
    <w:tblPr>
      <w:tblCellMar>
        <w:left w:w="0" w:type="dxa"/>
        <w:top w:w="0" w:type="dxa"/>
        <w:right w:w="0" w:type="dxa"/>
        <w:bottom w:w="0" w:type="dxa"/>
      </w:tblCellMar>
    </w:tblPr>
  </w:style>
  <w:style w:type="table" w:styleId="880" w:customStyle="1">
    <w:name w:val="List Table 2 - Accent 2"/>
    <w:uiPriority w:val="0"/>
    <w:qFormat/>
    <w:tblPr>
      <w:tblCellMar>
        <w:left w:w="0" w:type="dxa"/>
        <w:top w:w="0" w:type="dxa"/>
        <w:right w:w="0" w:type="dxa"/>
        <w:bottom w:w="0" w:type="dxa"/>
      </w:tblCellMar>
    </w:tblPr>
  </w:style>
  <w:style w:type="table" w:styleId="881" w:customStyle="1">
    <w:name w:val="List Table 2 - Accent 3"/>
    <w:uiPriority w:val="0"/>
    <w:qFormat/>
    <w:tblPr>
      <w:tblCellMar>
        <w:left w:w="0" w:type="dxa"/>
        <w:top w:w="0" w:type="dxa"/>
        <w:right w:w="0" w:type="dxa"/>
        <w:bottom w:w="0" w:type="dxa"/>
      </w:tblCellMar>
    </w:tblPr>
  </w:style>
  <w:style w:type="table" w:styleId="882" w:customStyle="1">
    <w:name w:val="List Table 2 - Accent 4"/>
    <w:uiPriority w:val="0"/>
    <w:qFormat/>
    <w:tblPr>
      <w:tblCellMar>
        <w:left w:w="0" w:type="dxa"/>
        <w:top w:w="0" w:type="dxa"/>
        <w:right w:w="0" w:type="dxa"/>
        <w:bottom w:w="0" w:type="dxa"/>
      </w:tblCellMar>
    </w:tblPr>
  </w:style>
  <w:style w:type="table" w:styleId="883" w:customStyle="1">
    <w:name w:val="List Table 2 - Accent 5"/>
    <w:uiPriority w:val="0"/>
    <w:qFormat/>
    <w:tblPr>
      <w:tblCellMar>
        <w:left w:w="0" w:type="dxa"/>
        <w:top w:w="0" w:type="dxa"/>
        <w:right w:w="0" w:type="dxa"/>
        <w:bottom w:w="0" w:type="dxa"/>
      </w:tblCellMar>
    </w:tblPr>
  </w:style>
  <w:style w:type="table" w:styleId="884" w:customStyle="1">
    <w:name w:val="List Table 2 - Accent 6"/>
    <w:uiPriority w:val="0"/>
    <w:qFormat/>
    <w:tblPr>
      <w:tblCellMar>
        <w:left w:w="0" w:type="dxa"/>
        <w:top w:w="0" w:type="dxa"/>
        <w:right w:w="0" w:type="dxa"/>
        <w:bottom w:w="0" w:type="dxa"/>
      </w:tblCellMar>
    </w:tblPr>
  </w:style>
  <w:style w:type="table" w:styleId="885" w:customStyle="1">
    <w:name w:val="清单表 31"/>
    <w:uiPriority w:val="0"/>
    <w:qFormat/>
    <w:tblPr>
      <w:tblCellMar>
        <w:left w:w="0" w:type="dxa"/>
        <w:top w:w="0" w:type="dxa"/>
        <w:right w:w="0" w:type="dxa"/>
        <w:bottom w:w="0" w:type="dxa"/>
      </w:tblCellMar>
    </w:tblPr>
  </w:style>
  <w:style w:type="table" w:styleId="886" w:customStyle="1">
    <w:name w:val="List Table 3 - Accent 1"/>
    <w:uiPriority w:val="0"/>
    <w:qFormat/>
    <w:tblPr>
      <w:tblCellMar>
        <w:left w:w="0" w:type="dxa"/>
        <w:top w:w="0" w:type="dxa"/>
        <w:right w:w="0" w:type="dxa"/>
        <w:bottom w:w="0" w:type="dxa"/>
      </w:tblCellMar>
    </w:tblPr>
  </w:style>
  <w:style w:type="table" w:styleId="887" w:customStyle="1">
    <w:name w:val="List Table 3 - Accent 2"/>
    <w:uiPriority w:val="0"/>
    <w:qFormat/>
    <w:tblPr>
      <w:tblCellMar>
        <w:left w:w="0" w:type="dxa"/>
        <w:top w:w="0" w:type="dxa"/>
        <w:right w:w="0" w:type="dxa"/>
        <w:bottom w:w="0" w:type="dxa"/>
      </w:tblCellMar>
    </w:tblPr>
  </w:style>
  <w:style w:type="table" w:styleId="888" w:customStyle="1">
    <w:name w:val="List Table 3 - Accent 3"/>
    <w:uiPriority w:val="0"/>
    <w:qFormat/>
    <w:tblPr>
      <w:tblCellMar>
        <w:left w:w="0" w:type="dxa"/>
        <w:top w:w="0" w:type="dxa"/>
        <w:right w:w="0" w:type="dxa"/>
        <w:bottom w:w="0" w:type="dxa"/>
      </w:tblCellMar>
    </w:tblPr>
  </w:style>
  <w:style w:type="table" w:styleId="889" w:customStyle="1">
    <w:name w:val="List Table 3 - Accent 4"/>
    <w:uiPriority w:val="0"/>
    <w:qFormat/>
    <w:tblPr>
      <w:tblCellMar>
        <w:left w:w="0" w:type="dxa"/>
        <w:top w:w="0" w:type="dxa"/>
        <w:right w:w="0" w:type="dxa"/>
        <w:bottom w:w="0" w:type="dxa"/>
      </w:tblCellMar>
    </w:tblPr>
  </w:style>
  <w:style w:type="table" w:styleId="890" w:customStyle="1">
    <w:name w:val="List Table 3 - Accent 5"/>
    <w:uiPriority w:val="0"/>
    <w:qFormat/>
    <w:tblPr>
      <w:tblCellMar>
        <w:left w:w="0" w:type="dxa"/>
        <w:top w:w="0" w:type="dxa"/>
        <w:right w:w="0" w:type="dxa"/>
        <w:bottom w:w="0" w:type="dxa"/>
      </w:tblCellMar>
    </w:tblPr>
  </w:style>
  <w:style w:type="table" w:styleId="891" w:customStyle="1">
    <w:name w:val="List Table 3 - Accent 6"/>
    <w:uiPriority w:val="0"/>
    <w:qFormat/>
    <w:tblPr>
      <w:tblCellMar>
        <w:left w:w="0" w:type="dxa"/>
        <w:top w:w="0" w:type="dxa"/>
        <w:right w:w="0" w:type="dxa"/>
        <w:bottom w:w="0" w:type="dxa"/>
      </w:tblCellMar>
    </w:tblPr>
  </w:style>
  <w:style w:type="table" w:styleId="892" w:customStyle="1">
    <w:name w:val="清单表 41"/>
    <w:uiPriority w:val="0"/>
    <w:qFormat/>
    <w:tblPr>
      <w:tblCellMar>
        <w:left w:w="0" w:type="dxa"/>
        <w:top w:w="0" w:type="dxa"/>
        <w:right w:w="0" w:type="dxa"/>
        <w:bottom w:w="0" w:type="dxa"/>
      </w:tblCellMar>
    </w:tblPr>
  </w:style>
  <w:style w:type="table" w:styleId="893" w:customStyle="1">
    <w:name w:val="List Table 4 - Accent 1"/>
    <w:uiPriority w:val="0"/>
    <w:qFormat/>
    <w:tblPr>
      <w:tblCellMar>
        <w:left w:w="0" w:type="dxa"/>
        <w:top w:w="0" w:type="dxa"/>
        <w:right w:w="0" w:type="dxa"/>
        <w:bottom w:w="0" w:type="dxa"/>
      </w:tblCellMar>
    </w:tblPr>
  </w:style>
  <w:style w:type="table" w:styleId="894" w:customStyle="1">
    <w:name w:val="List Table 4 - Accent 2"/>
    <w:uiPriority w:val="0"/>
    <w:qFormat/>
    <w:tblPr>
      <w:tblCellMar>
        <w:left w:w="0" w:type="dxa"/>
        <w:top w:w="0" w:type="dxa"/>
        <w:right w:w="0" w:type="dxa"/>
        <w:bottom w:w="0" w:type="dxa"/>
      </w:tblCellMar>
    </w:tblPr>
  </w:style>
  <w:style w:type="table" w:styleId="895" w:customStyle="1">
    <w:name w:val="List Table 4 - Accent 3"/>
    <w:uiPriority w:val="0"/>
    <w:qFormat/>
    <w:tblPr>
      <w:tblCellMar>
        <w:left w:w="0" w:type="dxa"/>
        <w:top w:w="0" w:type="dxa"/>
        <w:right w:w="0" w:type="dxa"/>
        <w:bottom w:w="0" w:type="dxa"/>
      </w:tblCellMar>
    </w:tblPr>
  </w:style>
  <w:style w:type="table" w:styleId="896" w:customStyle="1">
    <w:name w:val="List Table 4 - Accent 4"/>
    <w:uiPriority w:val="0"/>
    <w:qFormat/>
    <w:tblPr>
      <w:tblCellMar>
        <w:left w:w="0" w:type="dxa"/>
        <w:top w:w="0" w:type="dxa"/>
        <w:right w:w="0" w:type="dxa"/>
        <w:bottom w:w="0" w:type="dxa"/>
      </w:tblCellMar>
    </w:tblPr>
  </w:style>
  <w:style w:type="table" w:styleId="897" w:customStyle="1">
    <w:name w:val="List Table 4 - Accent 5"/>
    <w:uiPriority w:val="0"/>
    <w:qFormat/>
    <w:tblPr>
      <w:tblCellMar>
        <w:left w:w="0" w:type="dxa"/>
        <w:top w:w="0" w:type="dxa"/>
        <w:right w:w="0" w:type="dxa"/>
        <w:bottom w:w="0" w:type="dxa"/>
      </w:tblCellMar>
    </w:tblPr>
  </w:style>
  <w:style w:type="table" w:styleId="898" w:customStyle="1">
    <w:name w:val="List Table 4 - Accent 6"/>
    <w:uiPriority w:val="0"/>
    <w:qFormat/>
    <w:tblPr>
      <w:tblCellMar>
        <w:left w:w="0" w:type="dxa"/>
        <w:top w:w="0" w:type="dxa"/>
        <w:right w:w="0" w:type="dxa"/>
        <w:bottom w:w="0" w:type="dxa"/>
      </w:tblCellMar>
    </w:tblPr>
  </w:style>
  <w:style w:type="table" w:styleId="899" w:customStyle="1">
    <w:name w:val="清单表 5 深色1"/>
    <w:uiPriority w:val="0"/>
    <w:qFormat/>
    <w:tblPr>
      <w:tblCellMar>
        <w:left w:w="0" w:type="dxa"/>
        <w:top w:w="0" w:type="dxa"/>
        <w:right w:w="0" w:type="dxa"/>
        <w:bottom w:w="0" w:type="dxa"/>
      </w:tblCellMar>
    </w:tblPr>
  </w:style>
  <w:style w:type="table" w:styleId="900" w:customStyle="1">
    <w:name w:val="List Table 5 Dark - Accent 1"/>
    <w:uiPriority w:val="0"/>
    <w:qFormat/>
    <w:tblPr>
      <w:tblCellMar>
        <w:left w:w="0" w:type="dxa"/>
        <w:top w:w="0" w:type="dxa"/>
        <w:right w:w="0" w:type="dxa"/>
        <w:bottom w:w="0" w:type="dxa"/>
      </w:tblCellMar>
    </w:tblPr>
  </w:style>
  <w:style w:type="table" w:styleId="901" w:customStyle="1">
    <w:name w:val="List Table 5 Dark - Accent 2"/>
    <w:uiPriority w:val="0"/>
    <w:qFormat/>
    <w:tblPr>
      <w:tblCellMar>
        <w:left w:w="0" w:type="dxa"/>
        <w:top w:w="0" w:type="dxa"/>
        <w:right w:w="0" w:type="dxa"/>
        <w:bottom w:w="0" w:type="dxa"/>
      </w:tblCellMar>
    </w:tblPr>
  </w:style>
  <w:style w:type="table" w:styleId="902" w:customStyle="1">
    <w:name w:val="List Table 5 Dark - Accent 3"/>
    <w:uiPriority w:val="0"/>
    <w:qFormat/>
    <w:tblPr>
      <w:tblCellMar>
        <w:left w:w="0" w:type="dxa"/>
        <w:top w:w="0" w:type="dxa"/>
        <w:right w:w="0" w:type="dxa"/>
        <w:bottom w:w="0" w:type="dxa"/>
      </w:tblCellMar>
    </w:tblPr>
  </w:style>
  <w:style w:type="table" w:styleId="903" w:customStyle="1">
    <w:name w:val="List Table 5 Dark - Accent 4"/>
    <w:uiPriority w:val="0"/>
    <w:qFormat/>
    <w:tblPr>
      <w:tblCellMar>
        <w:left w:w="0" w:type="dxa"/>
        <w:top w:w="0" w:type="dxa"/>
        <w:right w:w="0" w:type="dxa"/>
        <w:bottom w:w="0" w:type="dxa"/>
      </w:tblCellMar>
    </w:tblPr>
  </w:style>
  <w:style w:type="table" w:styleId="904" w:customStyle="1">
    <w:name w:val="List Table 5 Dark - Accent 5"/>
    <w:uiPriority w:val="0"/>
    <w:qFormat/>
    <w:tblPr>
      <w:tblCellMar>
        <w:left w:w="0" w:type="dxa"/>
        <w:top w:w="0" w:type="dxa"/>
        <w:right w:w="0" w:type="dxa"/>
        <w:bottom w:w="0" w:type="dxa"/>
      </w:tblCellMar>
    </w:tblPr>
  </w:style>
  <w:style w:type="table" w:styleId="905" w:customStyle="1">
    <w:name w:val="List Table 5 Dark - Accent 6"/>
    <w:uiPriority w:val="0"/>
    <w:qFormat/>
    <w:tblPr>
      <w:tblCellMar>
        <w:left w:w="0" w:type="dxa"/>
        <w:top w:w="0" w:type="dxa"/>
        <w:right w:w="0" w:type="dxa"/>
        <w:bottom w:w="0" w:type="dxa"/>
      </w:tblCellMar>
    </w:tblPr>
  </w:style>
  <w:style w:type="table" w:styleId="906" w:customStyle="1">
    <w:name w:val="清单表 6 彩色1"/>
    <w:uiPriority w:val="0"/>
    <w:qFormat/>
    <w:tblPr>
      <w:tblCellMar>
        <w:left w:w="0" w:type="dxa"/>
        <w:top w:w="0" w:type="dxa"/>
        <w:right w:w="0" w:type="dxa"/>
        <w:bottom w:w="0" w:type="dxa"/>
      </w:tblCellMar>
    </w:tblPr>
  </w:style>
  <w:style w:type="table" w:styleId="907" w:customStyle="1">
    <w:name w:val="List Table 6 Colorful - Accent 1"/>
    <w:uiPriority w:val="0"/>
    <w:qFormat/>
    <w:tblPr>
      <w:tblCellMar>
        <w:left w:w="0" w:type="dxa"/>
        <w:top w:w="0" w:type="dxa"/>
        <w:right w:w="0" w:type="dxa"/>
        <w:bottom w:w="0" w:type="dxa"/>
      </w:tblCellMar>
    </w:tblPr>
  </w:style>
  <w:style w:type="table" w:styleId="908" w:customStyle="1">
    <w:name w:val="List Table 6 Colorful - Accent 2"/>
    <w:uiPriority w:val="0"/>
    <w:qFormat/>
    <w:tblPr>
      <w:tblCellMar>
        <w:left w:w="0" w:type="dxa"/>
        <w:top w:w="0" w:type="dxa"/>
        <w:right w:w="0" w:type="dxa"/>
        <w:bottom w:w="0" w:type="dxa"/>
      </w:tblCellMar>
    </w:tblPr>
  </w:style>
  <w:style w:type="table" w:styleId="909" w:customStyle="1">
    <w:name w:val="List Table 6 Colorful - Accent 3"/>
    <w:uiPriority w:val="0"/>
    <w:qFormat/>
    <w:tblPr>
      <w:tblCellMar>
        <w:left w:w="0" w:type="dxa"/>
        <w:top w:w="0" w:type="dxa"/>
        <w:right w:w="0" w:type="dxa"/>
        <w:bottom w:w="0" w:type="dxa"/>
      </w:tblCellMar>
    </w:tblPr>
  </w:style>
  <w:style w:type="table" w:styleId="910" w:customStyle="1">
    <w:name w:val="List Table 6 Colorful - Accent 4"/>
    <w:uiPriority w:val="0"/>
    <w:qFormat/>
    <w:tblPr>
      <w:tblCellMar>
        <w:left w:w="0" w:type="dxa"/>
        <w:top w:w="0" w:type="dxa"/>
        <w:right w:w="0" w:type="dxa"/>
        <w:bottom w:w="0" w:type="dxa"/>
      </w:tblCellMar>
    </w:tblPr>
  </w:style>
  <w:style w:type="table" w:styleId="911" w:customStyle="1">
    <w:name w:val="List Table 6 Colorful - Accent 5"/>
    <w:uiPriority w:val="0"/>
    <w:qFormat/>
    <w:tblPr>
      <w:tblCellMar>
        <w:left w:w="0" w:type="dxa"/>
        <w:top w:w="0" w:type="dxa"/>
        <w:right w:w="0" w:type="dxa"/>
        <w:bottom w:w="0" w:type="dxa"/>
      </w:tblCellMar>
    </w:tblPr>
  </w:style>
  <w:style w:type="table" w:styleId="912" w:customStyle="1">
    <w:name w:val="List Table 6 Colorful - Accent 6"/>
    <w:uiPriority w:val="0"/>
    <w:qFormat/>
    <w:tblPr>
      <w:tblCellMar>
        <w:left w:w="0" w:type="dxa"/>
        <w:top w:w="0" w:type="dxa"/>
        <w:right w:w="0" w:type="dxa"/>
        <w:bottom w:w="0" w:type="dxa"/>
      </w:tblCellMar>
    </w:tblPr>
  </w:style>
  <w:style w:type="table" w:styleId="913" w:customStyle="1">
    <w:name w:val="清单表 7 彩色1"/>
    <w:uiPriority w:val="0"/>
    <w:qFormat/>
    <w:tblPr>
      <w:tblCellMar>
        <w:left w:w="0" w:type="dxa"/>
        <w:top w:w="0" w:type="dxa"/>
        <w:right w:w="0" w:type="dxa"/>
        <w:bottom w:w="0" w:type="dxa"/>
      </w:tblCellMar>
    </w:tblPr>
  </w:style>
  <w:style w:type="table" w:styleId="914" w:customStyle="1">
    <w:name w:val="List Table 7 Colorful - Accent 1"/>
    <w:uiPriority w:val="0"/>
    <w:qFormat/>
    <w:tblPr>
      <w:tblCellMar>
        <w:left w:w="0" w:type="dxa"/>
        <w:top w:w="0" w:type="dxa"/>
        <w:right w:w="0" w:type="dxa"/>
        <w:bottom w:w="0" w:type="dxa"/>
      </w:tblCellMar>
    </w:tblPr>
  </w:style>
  <w:style w:type="table" w:styleId="915" w:customStyle="1">
    <w:name w:val="List Table 7 Colorful - Accent 2"/>
    <w:uiPriority w:val="0"/>
    <w:qFormat/>
    <w:tblPr>
      <w:tblCellMar>
        <w:left w:w="0" w:type="dxa"/>
        <w:top w:w="0" w:type="dxa"/>
        <w:right w:w="0" w:type="dxa"/>
        <w:bottom w:w="0" w:type="dxa"/>
      </w:tblCellMar>
    </w:tblPr>
  </w:style>
  <w:style w:type="table" w:styleId="916" w:customStyle="1">
    <w:name w:val="List Table 7 Colorful - Accent 3"/>
    <w:uiPriority w:val="0"/>
    <w:qFormat/>
    <w:tblPr>
      <w:tblCellMar>
        <w:left w:w="0" w:type="dxa"/>
        <w:top w:w="0" w:type="dxa"/>
        <w:right w:w="0" w:type="dxa"/>
        <w:bottom w:w="0" w:type="dxa"/>
      </w:tblCellMar>
    </w:tblPr>
  </w:style>
  <w:style w:type="table" w:styleId="917" w:customStyle="1">
    <w:name w:val="List Table 7 Colorful - Accent 4"/>
    <w:uiPriority w:val="0"/>
    <w:qFormat/>
    <w:tblPr>
      <w:tblCellMar>
        <w:left w:w="0" w:type="dxa"/>
        <w:top w:w="0" w:type="dxa"/>
        <w:right w:w="0" w:type="dxa"/>
        <w:bottom w:w="0" w:type="dxa"/>
      </w:tblCellMar>
    </w:tblPr>
  </w:style>
  <w:style w:type="table" w:styleId="918" w:customStyle="1">
    <w:name w:val="List Table 7 Colorful - Accent 5"/>
    <w:uiPriority w:val="0"/>
    <w:qFormat/>
    <w:tblPr>
      <w:tblCellMar>
        <w:left w:w="0" w:type="dxa"/>
        <w:top w:w="0" w:type="dxa"/>
        <w:right w:w="0" w:type="dxa"/>
        <w:bottom w:w="0" w:type="dxa"/>
      </w:tblCellMar>
    </w:tblPr>
  </w:style>
  <w:style w:type="table" w:styleId="919" w:customStyle="1">
    <w:name w:val="List Table 7 Colorful - Accent 6"/>
    <w:uiPriority w:val="0"/>
    <w:qFormat/>
    <w:tblPr>
      <w:tblCellMar>
        <w:left w:w="0" w:type="dxa"/>
        <w:top w:w="0" w:type="dxa"/>
        <w:right w:w="0" w:type="dxa"/>
        <w:bottom w:w="0" w:type="dxa"/>
      </w:tblCellMar>
    </w:tblPr>
  </w:style>
  <w:style w:type="table" w:styleId="920" w:customStyle="1">
    <w:name w:val="Lined - Accent"/>
    <w:uiPriority w:val="0"/>
    <w:qFormat/>
    <w:rPr>
      <w:color w:val="404040"/>
    </w:rPr>
    <w:tblPr>
      <w:tblCellMar>
        <w:left w:w="0" w:type="dxa"/>
        <w:top w:w="0" w:type="dxa"/>
        <w:right w:w="0" w:type="dxa"/>
        <w:bottom w:w="0" w:type="dxa"/>
      </w:tblCellMar>
    </w:tblPr>
  </w:style>
  <w:style w:type="table" w:styleId="921" w:customStyle="1">
    <w:name w:val="Lined - Accent 1"/>
    <w:uiPriority w:val="0"/>
    <w:qFormat/>
    <w:rPr>
      <w:color w:val="404040"/>
    </w:rPr>
    <w:tblPr>
      <w:tblCellMar>
        <w:left w:w="0" w:type="dxa"/>
        <w:top w:w="0" w:type="dxa"/>
        <w:right w:w="0" w:type="dxa"/>
        <w:bottom w:w="0" w:type="dxa"/>
      </w:tblCellMar>
    </w:tblPr>
  </w:style>
  <w:style w:type="table" w:styleId="922" w:customStyle="1">
    <w:name w:val="Lined - Accent 2"/>
    <w:uiPriority w:val="0"/>
    <w:qFormat/>
    <w:rPr>
      <w:color w:val="404040"/>
    </w:rPr>
    <w:tblPr>
      <w:tblCellMar>
        <w:left w:w="0" w:type="dxa"/>
        <w:top w:w="0" w:type="dxa"/>
        <w:right w:w="0" w:type="dxa"/>
        <w:bottom w:w="0" w:type="dxa"/>
      </w:tblCellMar>
    </w:tblPr>
  </w:style>
  <w:style w:type="table" w:styleId="923" w:customStyle="1">
    <w:name w:val="Lined - Accent 3"/>
    <w:uiPriority w:val="0"/>
    <w:qFormat/>
    <w:rPr>
      <w:color w:val="404040"/>
    </w:rPr>
    <w:tblPr>
      <w:tblCellMar>
        <w:left w:w="0" w:type="dxa"/>
        <w:top w:w="0" w:type="dxa"/>
        <w:right w:w="0" w:type="dxa"/>
        <w:bottom w:w="0" w:type="dxa"/>
      </w:tblCellMar>
    </w:tblPr>
  </w:style>
  <w:style w:type="table" w:styleId="924" w:customStyle="1">
    <w:name w:val="Lined - Accent 4"/>
    <w:uiPriority w:val="0"/>
    <w:qFormat/>
    <w:rPr>
      <w:color w:val="404040"/>
    </w:rPr>
    <w:tblPr>
      <w:tblCellMar>
        <w:left w:w="0" w:type="dxa"/>
        <w:top w:w="0" w:type="dxa"/>
        <w:right w:w="0" w:type="dxa"/>
        <w:bottom w:w="0" w:type="dxa"/>
      </w:tblCellMar>
    </w:tblPr>
  </w:style>
  <w:style w:type="table" w:styleId="925" w:customStyle="1">
    <w:name w:val="Lined - Accent 5"/>
    <w:uiPriority w:val="0"/>
    <w:qFormat/>
    <w:rPr>
      <w:color w:val="404040"/>
    </w:rPr>
    <w:tblPr>
      <w:tblCellMar>
        <w:left w:w="0" w:type="dxa"/>
        <w:top w:w="0" w:type="dxa"/>
        <w:right w:w="0" w:type="dxa"/>
        <w:bottom w:w="0" w:type="dxa"/>
      </w:tblCellMar>
    </w:tblPr>
  </w:style>
  <w:style w:type="table" w:styleId="926" w:customStyle="1">
    <w:name w:val="Lined - Accent 6"/>
    <w:uiPriority w:val="0"/>
    <w:qFormat/>
    <w:rPr>
      <w:color w:val="404040"/>
    </w:rPr>
    <w:tblPr>
      <w:tblCellMar>
        <w:left w:w="0" w:type="dxa"/>
        <w:top w:w="0" w:type="dxa"/>
        <w:right w:w="0" w:type="dxa"/>
        <w:bottom w:w="0" w:type="dxa"/>
      </w:tblCellMar>
    </w:tblPr>
  </w:style>
  <w:style w:type="table" w:styleId="927" w:customStyle="1">
    <w:name w:val="Bordered &amp; Lined - Accent"/>
    <w:uiPriority w:val="0"/>
    <w:qFormat/>
    <w:rPr>
      <w:color w:val="404040"/>
    </w:rPr>
    <w:tblPr>
      <w:tblCellMar>
        <w:left w:w="0" w:type="dxa"/>
        <w:top w:w="0" w:type="dxa"/>
        <w:right w:w="0" w:type="dxa"/>
        <w:bottom w:w="0" w:type="dxa"/>
      </w:tblCellMar>
    </w:tblPr>
  </w:style>
  <w:style w:type="table" w:styleId="928" w:customStyle="1">
    <w:name w:val="Bordered &amp; Lined - Accent 1"/>
    <w:uiPriority w:val="0"/>
    <w:qFormat/>
    <w:rPr>
      <w:color w:val="404040"/>
    </w:rPr>
    <w:tblPr>
      <w:tblCellMar>
        <w:left w:w="0" w:type="dxa"/>
        <w:top w:w="0" w:type="dxa"/>
        <w:right w:w="0" w:type="dxa"/>
        <w:bottom w:w="0" w:type="dxa"/>
      </w:tblCellMar>
    </w:tblPr>
  </w:style>
  <w:style w:type="table" w:styleId="929" w:customStyle="1">
    <w:name w:val="Bordered &amp; Lined - Accent 2"/>
    <w:uiPriority w:val="0"/>
    <w:qFormat/>
    <w:rPr>
      <w:color w:val="404040"/>
    </w:rPr>
    <w:tblPr>
      <w:tblCellMar>
        <w:left w:w="0" w:type="dxa"/>
        <w:top w:w="0" w:type="dxa"/>
        <w:right w:w="0" w:type="dxa"/>
        <w:bottom w:w="0" w:type="dxa"/>
      </w:tblCellMar>
    </w:tblPr>
  </w:style>
  <w:style w:type="table" w:styleId="930" w:customStyle="1">
    <w:name w:val="Bordered &amp; Lined - Accent 3"/>
    <w:uiPriority w:val="0"/>
    <w:qFormat/>
    <w:rPr>
      <w:color w:val="404040"/>
    </w:rPr>
    <w:tblPr>
      <w:tblCellMar>
        <w:left w:w="0" w:type="dxa"/>
        <w:top w:w="0" w:type="dxa"/>
        <w:right w:w="0" w:type="dxa"/>
        <w:bottom w:w="0" w:type="dxa"/>
      </w:tblCellMar>
    </w:tblPr>
  </w:style>
  <w:style w:type="table" w:styleId="931" w:customStyle="1">
    <w:name w:val="Bordered &amp; Lined - Accent 4"/>
    <w:uiPriority w:val="0"/>
    <w:qFormat/>
    <w:rPr>
      <w:color w:val="404040"/>
    </w:rPr>
    <w:tblPr>
      <w:tblCellMar>
        <w:left w:w="0" w:type="dxa"/>
        <w:top w:w="0" w:type="dxa"/>
        <w:right w:w="0" w:type="dxa"/>
        <w:bottom w:w="0" w:type="dxa"/>
      </w:tblCellMar>
    </w:tblPr>
  </w:style>
  <w:style w:type="table" w:styleId="932" w:customStyle="1">
    <w:name w:val="Bordered &amp; Lined - Accent 5"/>
    <w:uiPriority w:val="0"/>
    <w:qFormat/>
    <w:rPr>
      <w:color w:val="404040"/>
    </w:rPr>
    <w:tblPr>
      <w:tblCellMar>
        <w:left w:w="0" w:type="dxa"/>
        <w:top w:w="0" w:type="dxa"/>
        <w:right w:w="0" w:type="dxa"/>
        <w:bottom w:w="0" w:type="dxa"/>
      </w:tblCellMar>
    </w:tblPr>
  </w:style>
  <w:style w:type="table" w:styleId="933" w:customStyle="1">
    <w:name w:val="Bordered &amp; Lined - Accent 6"/>
    <w:uiPriority w:val="0"/>
    <w:qFormat/>
    <w:rPr>
      <w:color w:val="404040"/>
    </w:rPr>
    <w:tblPr>
      <w:tblCellMar>
        <w:left w:w="0" w:type="dxa"/>
        <w:top w:w="0" w:type="dxa"/>
        <w:right w:w="0" w:type="dxa"/>
        <w:bottom w:w="0" w:type="dxa"/>
      </w:tblCellMar>
    </w:tblPr>
  </w:style>
  <w:style w:type="table" w:styleId="934" w:customStyle="1">
    <w:name w:val="Bordered"/>
    <w:uiPriority w:val="0"/>
    <w:qFormat/>
    <w:tblPr>
      <w:tblCellMar>
        <w:left w:w="0" w:type="dxa"/>
        <w:top w:w="0" w:type="dxa"/>
        <w:right w:w="0" w:type="dxa"/>
        <w:bottom w:w="0" w:type="dxa"/>
      </w:tblCellMar>
    </w:tblPr>
  </w:style>
  <w:style w:type="table" w:styleId="935" w:customStyle="1">
    <w:name w:val="Bordered - Accent 1"/>
    <w:uiPriority w:val="0"/>
    <w:qFormat/>
    <w:tblPr>
      <w:tblCellMar>
        <w:left w:w="0" w:type="dxa"/>
        <w:top w:w="0" w:type="dxa"/>
        <w:right w:w="0" w:type="dxa"/>
        <w:bottom w:w="0" w:type="dxa"/>
      </w:tblCellMar>
    </w:tblPr>
  </w:style>
  <w:style w:type="table" w:styleId="936" w:customStyle="1">
    <w:name w:val="Bordered - Accent 2"/>
    <w:uiPriority w:val="0"/>
    <w:qFormat/>
    <w:tblPr>
      <w:tblCellMar>
        <w:left w:w="0" w:type="dxa"/>
        <w:top w:w="0" w:type="dxa"/>
        <w:right w:w="0" w:type="dxa"/>
        <w:bottom w:w="0" w:type="dxa"/>
      </w:tblCellMar>
    </w:tblPr>
  </w:style>
  <w:style w:type="table" w:styleId="937" w:customStyle="1">
    <w:name w:val="Bordered - Accent 3"/>
    <w:uiPriority w:val="0"/>
    <w:qFormat/>
    <w:tblPr>
      <w:tblCellMar>
        <w:left w:w="0" w:type="dxa"/>
        <w:top w:w="0" w:type="dxa"/>
        <w:right w:w="0" w:type="dxa"/>
        <w:bottom w:w="0" w:type="dxa"/>
      </w:tblCellMar>
    </w:tblPr>
  </w:style>
  <w:style w:type="table" w:styleId="938" w:customStyle="1">
    <w:name w:val="Bordered - Accent 4"/>
    <w:uiPriority w:val="0"/>
    <w:qFormat/>
    <w:tblPr>
      <w:tblCellMar>
        <w:left w:w="0" w:type="dxa"/>
        <w:top w:w="0" w:type="dxa"/>
        <w:right w:w="0" w:type="dxa"/>
        <w:bottom w:w="0" w:type="dxa"/>
      </w:tblCellMar>
    </w:tblPr>
  </w:style>
  <w:style w:type="table" w:styleId="939" w:customStyle="1">
    <w:name w:val="Bordered - Accent 5"/>
    <w:uiPriority w:val="0"/>
    <w:qFormat/>
    <w:tblPr>
      <w:tblCellMar>
        <w:left w:w="0" w:type="dxa"/>
        <w:top w:w="0" w:type="dxa"/>
        <w:right w:w="0" w:type="dxa"/>
        <w:bottom w:w="0" w:type="dxa"/>
      </w:tblCellMar>
    </w:tblPr>
  </w:style>
  <w:style w:type="table" w:styleId="940" w:customStyle="1">
    <w:name w:val="Bordered - Accent 6"/>
    <w:uiPriority w:val="0"/>
    <w:qFormat/>
    <w:tblPr>
      <w:tblCellMar>
        <w:left w:w="0" w:type="dxa"/>
        <w:top w:w="0" w:type="dxa"/>
        <w:right w:w="0" w:type="dxa"/>
        <w:bottom w:w="0" w:type="dxa"/>
      </w:tblCellMar>
    </w:tblPr>
  </w:style>
  <w:style w:type="paragraph" w:styleId="941" w:customStyle="1">
    <w:name w:val="TOC Heading_202ff5a1-fac2-4650-ac50-59cf3a0d91cf"/>
    <w:uiPriority w:val="0"/>
    <w:qFormat/>
    <w:rPr>
      <w:rFonts w:ascii="Times New Roman" w:hAnsi="Times New Roman" w:eastAsia="宋体" w:cs="Times New Roman"/>
      <w:lang w:val="en-US" w:eastAsia="zh-CN" w:bidi="ar-SA"/>
    </w:rPr>
  </w:style>
  <w:style w:type="character" w:styleId="942" w:customStyle="1">
    <w:name w:val="标题 1 Char"/>
    <w:link w:val="943"/>
    <w:uiPriority w:val="0"/>
    <w:qFormat/>
    <w:rPr>
      <w:rFonts w:ascii="Times New Roman" w:hAnsi="Times New Roman" w:eastAsia="宋体" w:cs="Times New Roman"/>
      <w:b/>
      <w:bCs/>
      <w:sz w:val="44"/>
      <w:szCs w:val="44"/>
    </w:rPr>
  </w:style>
  <w:style w:type="paragraph" w:styleId="943" w:customStyle="1">
    <w:name w:val="标题 11"/>
    <w:basedOn w:val="664"/>
    <w:next w:val="664"/>
    <w:link w:val="942"/>
    <w:uiPriority w:val="0"/>
    <w:qFormat/>
    <w:pPr>
      <w:keepLines/>
      <w:keepNext/>
      <w:spacing w:before="340" w:after="330" w:line="578" w:lineRule="auto"/>
      <w:outlineLvl w:val="0"/>
    </w:pPr>
    <w:rPr>
      <w:b/>
      <w:bCs/>
      <w:sz w:val="44"/>
      <w:szCs w:val="44"/>
    </w:rPr>
  </w:style>
  <w:style w:type="character" w:styleId="944" w:customStyle="1">
    <w:name w:val="标题 3 Char"/>
    <w:link w:val="945"/>
    <w:uiPriority w:val="0"/>
    <w:qFormat/>
    <w:rPr>
      <w:rFonts w:ascii="Times New Roman" w:hAnsi="Times New Roman" w:eastAsia="宋体" w:cs="Times New Roman"/>
      <w:b/>
      <w:bCs/>
      <w:sz w:val="32"/>
      <w:szCs w:val="32"/>
    </w:rPr>
  </w:style>
  <w:style w:type="paragraph" w:styleId="945" w:customStyle="1">
    <w:name w:val="标题 31"/>
    <w:basedOn w:val="664"/>
    <w:next w:val="664"/>
    <w:link w:val="944"/>
    <w:uiPriority w:val="0"/>
    <w:qFormat/>
    <w:pPr>
      <w:keepLines/>
      <w:keepNext/>
      <w:spacing w:before="260" w:after="260" w:line="416" w:lineRule="auto"/>
      <w:outlineLvl w:val="2"/>
    </w:pPr>
    <w:rPr>
      <w:b/>
      <w:bCs/>
      <w:sz w:val="32"/>
      <w:szCs w:val="32"/>
    </w:rPr>
  </w:style>
  <w:style w:type="character" w:styleId="946" w:customStyle="1">
    <w:name w:val="标题 4 Char"/>
    <w:link w:val="947"/>
    <w:uiPriority w:val="0"/>
    <w:qFormat/>
    <w:rPr>
      <w:rFonts w:ascii="Times New Roman" w:hAnsi="Times New Roman" w:eastAsia="新宋体" w:cs="Times New Roman"/>
      <w:sz w:val="30"/>
      <w:szCs w:val="21"/>
    </w:rPr>
  </w:style>
  <w:style w:type="paragraph" w:styleId="947" w:customStyle="1">
    <w:name w:val="标题 41"/>
    <w:basedOn w:val="664"/>
    <w:next w:val="664"/>
    <w:link w:val="946"/>
    <w:uiPriority w:val="0"/>
    <w:qFormat/>
    <w:pPr>
      <w:jc w:val="center"/>
      <w:keepNext/>
      <w:outlineLvl w:val="3"/>
    </w:pPr>
    <w:rPr>
      <w:rFonts w:eastAsia="新宋体"/>
      <w:sz w:val="30"/>
      <w:szCs w:val="21"/>
    </w:rPr>
  </w:style>
  <w:style w:type="character" w:styleId="948" w:customStyle="1">
    <w:name w:val="默认段落字体1"/>
    <w:uiPriority w:val="0"/>
    <w:qFormat/>
    <w:rPr>
      <w:rFonts w:ascii="Times New Roman" w:hAnsi="Times New Roman" w:eastAsia="宋体" w:cs="Times New Roman"/>
    </w:rPr>
  </w:style>
  <w:style w:type="table" w:styleId="949" w:customStyle="1">
    <w:name w:val="普通表格1"/>
    <w:uiPriority w:val="0"/>
    <w:qFormat/>
    <w:tblPr>
      <w:tblCellMar>
        <w:left w:w="0" w:type="dxa"/>
        <w:top w:w="0" w:type="dxa"/>
        <w:right w:w="0" w:type="dxa"/>
        <w:bottom w:w="0" w:type="dxa"/>
      </w:tblCellMar>
    </w:tblPr>
  </w:style>
  <w:style w:type="character" w:styleId="950" w:customStyle="1">
    <w:name w:val="正文缩进 Char"/>
    <w:link w:val="951"/>
    <w:uiPriority w:val="0"/>
    <w:qFormat/>
    <w:rPr>
      <w:rFonts w:ascii="Times New Roman" w:hAnsi="Times New Roman" w:eastAsia="宋体" w:cs="Times New Roman"/>
      <w:sz w:val="21"/>
    </w:rPr>
  </w:style>
  <w:style w:type="paragraph" w:styleId="951" w:customStyle="1">
    <w:name w:val="正文缩进1"/>
    <w:basedOn w:val="664"/>
    <w:link w:val="950"/>
    <w:uiPriority w:val="0"/>
    <w:qFormat/>
    <w:pPr>
      <w:ind w:firstLine="420"/>
    </w:pPr>
    <w:rPr>
      <w:szCs w:val="20"/>
    </w:rPr>
  </w:style>
  <w:style w:type="character" w:styleId="952" w:customStyle="1">
    <w:name w:val="文档结构图 Char"/>
    <w:link w:val="953"/>
    <w:uiPriority w:val="0"/>
    <w:qFormat/>
    <w:rPr>
      <w:rFonts w:ascii="Times New Roman" w:hAnsi="Times New Roman" w:eastAsia="宋体" w:cs="Times New Roman"/>
      <w:sz w:val="21"/>
      <w:szCs w:val="24"/>
      <w:shd w:val="clear" w:color="auto" w:fill="000080"/>
    </w:rPr>
  </w:style>
  <w:style w:type="paragraph" w:styleId="953" w:customStyle="1">
    <w:name w:val="文档结构图1"/>
    <w:basedOn w:val="664"/>
    <w:link w:val="952"/>
    <w:uiPriority w:val="0"/>
    <w:qFormat/>
    <w:pPr>
      <w:shd w:val="clear" w:color="auto" w:fill="000080"/>
    </w:pPr>
  </w:style>
  <w:style w:type="paragraph" w:styleId="954" w:customStyle="1">
    <w:name w:val="批注文字1"/>
    <w:basedOn w:val="664"/>
    <w:uiPriority w:val="0"/>
    <w:qFormat/>
    <w:pPr>
      <w:jc w:val="left"/>
    </w:pPr>
  </w:style>
  <w:style w:type="paragraph" w:styleId="955" w:customStyle="1">
    <w:name w:val="正文文本1"/>
    <w:basedOn w:val="664"/>
    <w:uiPriority w:val="0"/>
    <w:qFormat/>
    <w:pPr>
      <w:spacing w:line="400" w:lineRule="exact"/>
    </w:pPr>
    <w:rPr>
      <w:rFonts w:hint="eastAsia" w:ascii="楷体_GB2312"/>
      <w:sz w:val="28"/>
    </w:rPr>
  </w:style>
  <w:style w:type="character" w:styleId="956" w:customStyle="1">
    <w:name w:val="正文文本缩进 Char"/>
    <w:link w:val="957"/>
    <w:uiPriority w:val="0"/>
    <w:qFormat/>
    <w:rPr>
      <w:rFonts w:ascii="Times New Roman" w:hAnsi="Times New Roman" w:eastAsia="宋体" w:cs="Times New Roman"/>
      <w:sz w:val="21"/>
      <w:szCs w:val="24"/>
    </w:rPr>
  </w:style>
  <w:style w:type="paragraph" w:styleId="957" w:customStyle="1">
    <w:name w:val="正文文本缩进1"/>
    <w:basedOn w:val="664"/>
    <w:link w:val="956"/>
    <w:uiPriority w:val="0"/>
    <w:qFormat/>
    <w:pPr>
      <w:ind w:left="420"/>
      <w:spacing w:after="120"/>
    </w:pPr>
  </w:style>
  <w:style w:type="character" w:styleId="958" w:customStyle="1">
    <w:name w:val="日期 Char"/>
    <w:link w:val="959"/>
    <w:uiPriority w:val="0"/>
    <w:qFormat/>
    <w:rPr>
      <w:rFonts w:ascii="Times New Roman" w:hAnsi="Times New Roman" w:eastAsia="宋体" w:cs="Times New Roman"/>
      <w:sz w:val="21"/>
      <w:szCs w:val="24"/>
    </w:rPr>
  </w:style>
  <w:style w:type="paragraph" w:styleId="959" w:customStyle="1">
    <w:name w:val="日期1"/>
    <w:basedOn w:val="664"/>
    <w:next w:val="664"/>
    <w:link w:val="958"/>
    <w:uiPriority w:val="0"/>
    <w:qFormat/>
    <w:pPr>
      <w:ind w:left="100"/>
    </w:pPr>
  </w:style>
  <w:style w:type="character" w:styleId="960" w:customStyle="1">
    <w:name w:val="批注框文本 Char"/>
    <w:link w:val="961"/>
    <w:uiPriority w:val="0"/>
    <w:qFormat/>
    <w:rPr>
      <w:rFonts w:ascii="Times New Roman" w:hAnsi="Times New Roman" w:eastAsia="宋体" w:cs="Times New Roman"/>
      <w:sz w:val="18"/>
      <w:szCs w:val="18"/>
    </w:rPr>
  </w:style>
  <w:style w:type="paragraph" w:styleId="961" w:customStyle="1">
    <w:name w:val="批注框文本1"/>
    <w:basedOn w:val="664"/>
    <w:link w:val="960"/>
    <w:uiPriority w:val="0"/>
    <w:qFormat/>
    <w:rPr>
      <w:sz w:val="18"/>
      <w:szCs w:val="18"/>
    </w:rPr>
  </w:style>
  <w:style w:type="character" w:styleId="962" w:customStyle="1">
    <w:name w:val="正文文本缩进 3 Char"/>
    <w:link w:val="963"/>
    <w:uiPriority w:val="0"/>
    <w:qFormat/>
    <w:rPr>
      <w:rFonts w:ascii="宋体" w:hAnsi="Times New Roman" w:eastAsia="宋体" w:cs="Times New Roman"/>
      <w:b/>
      <w:spacing w:val="6"/>
      <w:sz w:val="28"/>
      <w:szCs w:val="24"/>
    </w:rPr>
  </w:style>
  <w:style w:type="paragraph" w:styleId="963" w:customStyle="1">
    <w:name w:val="正文文本缩进 31"/>
    <w:basedOn w:val="664"/>
    <w:link w:val="962"/>
    <w:uiPriority w:val="0"/>
    <w:qFormat/>
    <w:pPr>
      <w:ind w:firstLine="539"/>
      <w:spacing w:line="520" w:lineRule="exact"/>
    </w:pPr>
    <w:rPr>
      <w:rFonts w:ascii="宋体"/>
      <w:b/>
      <w:spacing w:val="6"/>
      <w:sz w:val="28"/>
    </w:rPr>
  </w:style>
  <w:style w:type="paragraph" w:styleId="964" w:customStyle="1">
    <w:name w:val="普通(网站)1"/>
    <w:basedOn w:val="664"/>
    <w:uiPriority w:val="0"/>
    <w:qFormat/>
    <w:pPr>
      <w:jc w:val="left"/>
      <w:spacing w:before="100" w:beforeAutospacing="1" w:after="100" w:afterAutospacing="1"/>
      <w:widowControl/>
    </w:pPr>
    <w:rPr>
      <w:rFonts w:ascii="宋体" w:hAnsi="宋体" w:cs="宋体"/>
      <w:sz w:val="24"/>
    </w:rPr>
  </w:style>
  <w:style w:type="paragraph" w:styleId="965" w:customStyle="1">
    <w:name w:val="正文首行缩进1"/>
    <w:basedOn w:val="955"/>
    <w:uiPriority w:val="0"/>
    <w:qFormat/>
    <w:pPr>
      <w:ind w:firstLine="420"/>
    </w:pPr>
    <w:rPr>
      <w:rFonts w:ascii="Times New Roman"/>
    </w:rPr>
  </w:style>
  <w:style w:type="paragraph" w:styleId="966" w:customStyle="1">
    <w:name w:val="正文首行缩进 21"/>
    <w:basedOn w:val="957"/>
    <w:next w:val="965"/>
    <w:uiPriority w:val="0"/>
    <w:qFormat/>
    <w:pPr>
      <w:ind w:firstLine="200"/>
    </w:pPr>
  </w:style>
  <w:style w:type="table" w:styleId="967" w:customStyle="1">
    <w:name w:val="网格型1"/>
    <w:basedOn w:val="949"/>
    <w:uiPriority w:val="0"/>
    <w:qFormat/>
    <w:pPr>
      <w:jc w:val="both"/>
      <w:widowControl w:val="off"/>
    </w:pPr>
    <w:tblPr/>
  </w:style>
  <w:style w:type="character" w:styleId="968" w:customStyle="1">
    <w:name w:val="要点1"/>
    <w:uiPriority w:val="0"/>
    <w:qFormat/>
    <w:rPr>
      <w:rFonts w:ascii="Times New Roman" w:hAnsi="Times New Roman" w:eastAsia="宋体" w:cs="Times New Roman"/>
      <w:b/>
      <w:bCs/>
    </w:rPr>
  </w:style>
  <w:style w:type="character" w:styleId="969" w:customStyle="1">
    <w:name w:val="页码1"/>
    <w:uiPriority w:val="0"/>
    <w:qFormat/>
    <w:rPr>
      <w:rFonts w:ascii="Times New Roman" w:hAnsi="Times New Roman" w:eastAsia="宋体" w:cs="Times New Roman"/>
    </w:rPr>
  </w:style>
  <w:style w:type="character" w:styleId="970" w:customStyle="1">
    <w:name w:val="已访问的超链接1"/>
    <w:uiPriority w:val="0"/>
    <w:qFormat/>
    <w:rPr>
      <w:rFonts w:ascii="Times New Roman" w:hAnsi="Times New Roman" w:eastAsia="宋体" w:cs="Times New Roman"/>
      <w:color w:val="800080"/>
      <w:u w:val="none"/>
    </w:rPr>
  </w:style>
  <w:style w:type="character" w:styleId="971" w:customStyle="1">
    <w:name w:val="强调1"/>
    <w:uiPriority w:val="0"/>
    <w:qFormat/>
    <w:rPr>
      <w:rFonts w:ascii="Times New Roman" w:hAnsi="Times New Roman" w:eastAsia="宋体" w:cs="Times New Roman"/>
      <w:b/>
      <w:bCs/>
    </w:rPr>
  </w:style>
  <w:style w:type="character" w:styleId="972" w:customStyle="1">
    <w:name w:val="HTML 定义1"/>
    <w:uiPriority w:val="0"/>
    <w:qFormat/>
    <w:rPr>
      <w:rFonts w:ascii="Times New Roman" w:hAnsi="Times New Roman" w:eastAsia="宋体" w:cs="Times New Roman"/>
    </w:rPr>
  </w:style>
  <w:style w:type="character" w:styleId="973" w:customStyle="1">
    <w:name w:val="HTML 打字机1"/>
    <w:uiPriority w:val="0"/>
    <w:qFormat/>
    <w:rPr>
      <w:rFonts w:ascii="monospace" w:hAnsi="monospace" w:eastAsia="monospace" w:cs="monospace"/>
      <w:sz w:val="20"/>
    </w:rPr>
  </w:style>
  <w:style w:type="character" w:styleId="974" w:customStyle="1">
    <w:name w:val="HTML 缩写1"/>
    <w:uiPriority w:val="0"/>
    <w:qFormat/>
    <w:rPr>
      <w:rFonts w:ascii="Times New Roman" w:hAnsi="Times New Roman" w:eastAsia="宋体" w:cs="Times New Roman"/>
    </w:rPr>
  </w:style>
  <w:style w:type="character" w:styleId="975" w:customStyle="1">
    <w:name w:val="HTML 变量1"/>
    <w:uiPriority w:val="0"/>
    <w:qFormat/>
    <w:rPr>
      <w:rFonts w:ascii="Times New Roman" w:hAnsi="Times New Roman" w:eastAsia="宋体" w:cs="Times New Roman"/>
    </w:rPr>
  </w:style>
  <w:style w:type="character" w:styleId="976" w:customStyle="1">
    <w:name w:val="超链接1"/>
    <w:uiPriority w:val="0"/>
    <w:qFormat/>
    <w:rPr>
      <w:rFonts w:ascii="Times New Roman" w:hAnsi="Times New Roman" w:eastAsia="宋体" w:cs="Times New Roman"/>
      <w:color w:val="0000ff"/>
      <w:u w:val="none"/>
    </w:rPr>
  </w:style>
  <w:style w:type="character" w:styleId="977" w:customStyle="1">
    <w:name w:val="HTML 代码1"/>
    <w:uiPriority w:val="0"/>
    <w:qFormat/>
    <w:rPr>
      <w:rFonts w:ascii="monospace" w:hAnsi="monospace" w:eastAsia="monospace" w:cs="monospace"/>
      <w:sz w:val="20"/>
    </w:rPr>
  </w:style>
  <w:style w:type="character" w:styleId="978" w:customStyle="1">
    <w:name w:val="HTML 引文1"/>
    <w:uiPriority w:val="0"/>
    <w:qFormat/>
    <w:rPr>
      <w:rFonts w:ascii="Times New Roman" w:hAnsi="Times New Roman" w:eastAsia="宋体" w:cs="Times New Roman"/>
    </w:rPr>
  </w:style>
  <w:style w:type="character" w:styleId="979" w:customStyle="1">
    <w:name w:val="HTML 键盘1"/>
    <w:uiPriority w:val="0"/>
    <w:qFormat/>
    <w:rPr>
      <w:rFonts w:ascii="monospace" w:hAnsi="monospace" w:eastAsia="monospace" w:cs="monospace"/>
      <w:sz w:val="20"/>
    </w:rPr>
  </w:style>
  <w:style w:type="character" w:styleId="980" w:customStyle="1">
    <w:name w:val="HTML 样本1"/>
    <w:uiPriority w:val="0"/>
    <w:qFormat/>
    <w:rPr>
      <w:rFonts w:ascii="monospace" w:hAnsi="monospace" w:eastAsia="monospace" w:cs="monospace"/>
    </w:rPr>
  </w:style>
  <w:style w:type="paragraph" w:styleId="981" w:customStyle="1">
    <w:name w:val="正文缩进2格"/>
    <w:basedOn w:val="664"/>
    <w:link w:val="982"/>
    <w:uiPriority w:val="0"/>
    <w:qFormat/>
    <w:pPr>
      <w:ind w:firstLine="639"/>
      <w:spacing w:line="600" w:lineRule="exact"/>
    </w:pPr>
    <w:rPr>
      <w:rFonts w:ascii="仿宋_GB2312" w:hAnsi="宋体" w:eastAsia="仿宋_GB2312"/>
      <w:sz w:val="31"/>
      <w:szCs w:val="28"/>
    </w:rPr>
  </w:style>
  <w:style w:type="character" w:styleId="982" w:customStyle="1">
    <w:name w:val="正文缩进2格 Char"/>
    <w:link w:val="981"/>
    <w:uiPriority w:val="0"/>
    <w:qFormat/>
    <w:rPr>
      <w:rFonts w:ascii="仿宋_GB2312" w:hAnsi="宋体" w:eastAsia="仿宋_GB2312" w:cs="Times New Roman"/>
      <w:sz w:val="31"/>
      <w:szCs w:val="28"/>
    </w:rPr>
  </w:style>
  <w:style w:type="paragraph" w:styleId="983" w:customStyle="1">
    <w:name w:val="标题 3.1"/>
    <w:basedOn w:val="945"/>
    <w:link w:val="984"/>
    <w:uiPriority w:val="0"/>
    <w:qFormat/>
    <w:pPr>
      <w:spacing w:line="600" w:lineRule="exact"/>
      <w:tabs>
        <w:tab w:val="left" w:pos="1440" w:leader="none"/>
        <w:tab w:val="left" w:pos="1620" w:leader="none"/>
      </w:tabs>
    </w:pPr>
    <w:rPr>
      <w:rFonts w:ascii="宋体" w:hAnsi="宋体"/>
      <w:color w:val="000000"/>
    </w:rPr>
  </w:style>
  <w:style w:type="character" w:styleId="984" w:customStyle="1">
    <w:name w:val="标题 3.1 Char"/>
    <w:link w:val="983"/>
    <w:uiPriority w:val="0"/>
    <w:qFormat/>
    <w:rPr>
      <w:rFonts w:ascii="宋体" w:hAnsi="宋体" w:eastAsia="宋体" w:cs="Times New Roman"/>
      <w:b/>
      <w:bCs/>
      <w:color w:val="000000"/>
      <w:sz w:val="32"/>
      <w:szCs w:val="32"/>
    </w:rPr>
  </w:style>
  <w:style w:type="paragraph" w:styleId="985" w:customStyle="1">
    <w:name w:val="Char"/>
    <w:basedOn w:val="664"/>
    <w:uiPriority w:val="0"/>
    <w:qFormat/>
    <w:rPr>
      <w:rFonts w:ascii="Tahoma" w:hAnsi="Tahoma"/>
      <w:sz w:val="24"/>
      <w:szCs w:val="20"/>
    </w:rPr>
  </w:style>
  <w:style w:type="paragraph" w:styleId="986" w:customStyle="1">
    <w:name w:val="正文缩进4格"/>
    <w:basedOn w:val="981"/>
    <w:uiPriority w:val="0"/>
    <w:qFormat/>
    <w:pPr>
      <w:ind w:left="2" w:firstLine="538"/>
    </w:pPr>
    <w:rPr>
      <w:rFonts w:ascii="Times New Roman" w:hAnsi="Times New Roman" w:eastAsia="宋体"/>
      <w:color w:val="000000"/>
      <w:sz w:val="28"/>
    </w:rPr>
  </w:style>
  <w:style w:type="paragraph" w:styleId="987" w:customStyle="1">
    <w:name w:val="Char Char Char Char"/>
    <w:basedOn w:val="664"/>
    <w:uiPriority w:val="0"/>
    <w:qFormat/>
    <w:rPr>
      <w:rFonts w:ascii="Tahoma" w:hAnsi="Tahoma"/>
      <w:sz w:val="24"/>
      <w:szCs w:val="20"/>
    </w:rPr>
  </w:style>
  <w:style w:type="paragraph" w:styleId="988" w:customStyle="1">
    <w:name w:val="Char1"/>
    <w:basedOn w:val="664"/>
    <w:uiPriority w:val="0"/>
    <w:qFormat/>
    <w:pPr>
      <w:ind w:left="840" w:hanging="420"/>
      <w:tabs>
        <w:tab w:val="left" w:pos="840" w:leader="none"/>
      </w:tabs>
    </w:pPr>
    <w:rPr>
      <w:sz w:val="24"/>
    </w:rPr>
  </w:style>
  <w:style w:type="paragraph" w:styleId="989" w:customStyle="1">
    <w:name w:val="Char Char1 Char Char Char Char Char Char"/>
    <w:basedOn w:val="664"/>
    <w:uiPriority w:val="0"/>
    <w:qFormat/>
    <w:pPr>
      <w:jc w:val="left"/>
      <w:spacing w:after="160" w:line="240" w:lineRule="exact"/>
      <w:widowControl/>
    </w:pPr>
    <w:rPr>
      <w:rFonts w:ascii="Verdana" w:hAnsi="Verdana" w:eastAsia="仿宋_GB2312"/>
      <w:sz w:val="24"/>
      <w:szCs w:val="20"/>
      <w:lang w:eastAsia="en-US"/>
    </w:rPr>
  </w:style>
  <w:style w:type="paragraph" w:styleId="990" w:customStyle="1">
    <w:name w:val="msonormalcxspmiddle"/>
    <w:basedOn w:val="664"/>
    <w:uiPriority w:val="0"/>
    <w:qFormat/>
    <w:pPr>
      <w:jc w:val="left"/>
      <w:spacing w:before="100" w:beforeAutospacing="1" w:after="100" w:afterAutospacing="1"/>
      <w:widowControl/>
    </w:pPr>
    <w:rPr>
      <w:rFonts w:ascii="宋体" w:hAnsi="宋体" w:cs="宋体"/>
      <w:sz w:val="24"/>
    </w:rPr>
  </w:style>
  <w:style w:type="paragraph" w:styleId="991" w:customStyle="1">
    <w:name w:val="Char Char 字元 字元 字元 Char Char Char Char"/>
    <w:basedOn w:val="664"/>
    <w:uiPriority w:val="0"/>
    <w:qFormat/>
    <w:pPr>
      <w:spacing w:line="360" w:lineRule="auto"/>
    </w:pPr>
    <w:rPr>
      <w:sz w:val="24"/>
      <w:szCs w:val="20"/>
    </w:rPr>
  </w:style>
  <w:style w:type="paragraph" w:styleId="992" w:customStyle="1">
    <w:name w:val="para"/>
    <w:basedOn w:val="664"/>
    <w:uiPriority w:val="0"/>
    <w:qFormat/>
    <w:pPr>
      <w:jc w:val="left"/>
      <w:spacing w:before="100" w:beforeAutospacing="1" w:after="100" w:afterAutospacing="1"/>
      <w:widowControl/>
    </w:pPr>
    <w:rPr>
      <w:rFonts w:ascii="Arial" w:hAnsi="Arial" w:cs="Arial"/>
      <w:sz w:val="18"/>
      <w:szCs w:val="18"/>
    </w:rPr>
  </w:style>
  <w:style w:type="paragraph" w:styleId="993" w:customStyle="1">
    <w:name w:val="Char2"/>
    <w:basedOn w:val="664"/>
    <w:uiPriority w:val="0"/>
    <w:qFormat/>
    <w:rPr>
      <w:rFonts w:ascii="Tahoma" w:hAnsi="Tahoma"/>
      <w:sz w:val="24"/>
      <w:szCs w:val="20"/>
    </w:rPr>
  </w:style>
  <w:style w:type="paragraph" w:styleId="994" w:customStyle="1">
    <w:name w:val="msonormalcxsplast"/>
    <w:basedOn w:val="664"/>
    <w:uiPriority w:val="0"/>
    <w:qFormat/>
    <w:pPr>
      <w:jc w:val="left"/>
      <w:spacing w:before="100" w:beforeAutospacing="1" w:after="100" w:afterAutospacing="1"/>
      <w:widowControl/>
    </w:pPr>
    <w:rPr>
      <w:rFonts w:ascii="宋体" w:hAnsi="宋体" w:cs="宋体"/>
      <w:sz w:val="24"/>
    </w:rPr>
  </w:style>
  <w:style w:type="paragraph" w:styleId="995" w:customStyle="1">
    <w:name w:val="普通正文"/>
    <w:basedOn w:val="664"/>
    <w:link w:val="996"/>
    <w:uiPriority w:val="0"/>
    <w:qFormat/>
    <w:pPr>
      <w:ind w:left="-2" w:right="120" w:firstLine="480"/>
      <w:jc w:val="center"/>
      <w:spacing w:before="120" w:after="120" w:line="360" w:lineRule="auto"/>
    </w:pPr>
    <w:rPr>
      <w:rFonts w:ascii="Arial" w:hAnsi="Arial"/>
      <w:sz w:val="24"/>
    </w:rPr>
  </w:style>
  <w:style w:type="character" w:styleId="996" w:customStyle="1">
    <w:name w:val="普通正文 Char"/>
    <w:link w:val="995"/>
    <w:uiPriority w:val="0"/>
    <w:qFormat/>
    <w:rPr>
      <w:rFonts w:ascii="Arial" w:hAnsi="Arial" w:eastAsia="宋体" w:cs="Times New Roman"/>
      <w:sz w:val="24"/>
      <w:szCs w:val="24"/>
    </w:rPr>
  </w:style>
  <w:style w:type="character" w:styleId="997" w:customStyle="1">
    <w:name w:val="mini-outputtext1"/>
    <w:uiPriority w:val="0"/>
    <w:qFormat/>
    <w:rPr>
      <w:rFonts w:ascii="Times New Roman" w:hAnsi="Times New Roman" w:eastAsia="宋体" w:cs="Times New Roman"/>
    </w:rPr>
  </w:style>
  <w:style w:type="character" w:styleId="998" w:customStyle="1">
    <w:name w:val="font31"/>
    <w:basedOn w:val="948"/>
    <w:uiPriority w:val="0"/>
    <w:qFormat/>
    <w:rPr>
      <w:rFonts w:hint="eastAsia" w:ascii="宋体" w:hAnsi="宋体" w:eastAsia="宋体" w:cs="宋体"/>
      <w:color w:val="000000"/>
      <w:sz w:val="21"/>
      <w:szCs w:val="21"/>
      <w:u w:val="none"/>
    </w:rPr>
  </w:style>
  <w:style w:type="character" w:styleId="999" w:customStyle="1">
    <w:name w:val="font61"/>
    <w:uiPriority w:val="0"/>
    <w:qFormat/>
    <w:rPr>
      <w:rFonts w:ascii="Times New Roman" w:hAnsi="Times New Roman" w:eastAsia="宋体" w:cs="Times New Roman"/>
      <w:color w:val="000000"/>
      <w:sz w:val="21"/>
      <w:szCs w:val="21"/>
      <w:u w:val="none"/>
    </w:rPr>
  </w:style>
  <w:style w:type="character" w:styleId="1000" w:customStyle="1">
    <w:name w:val="font01"/>
    <w:uiPriority w:val="0"/>
    <w:qFormat/>
    <w:rPr>
      <w:rFonts w:ascii="等线" w:hAnsi="等线" w:eastAsia="等线" w:cs="等线"/>
      <w:color w:val="000000"/>
      <w:sz w:val="22"/>
      <w:szCs w:val="22"/>
      <w:u w:val="none"/>
    </w:rPr>
  </w:style>
  <w:style w:type="character" w:styleId="1001" w:customStyle="1">
    <w:name w:val="font51"/>
    <w:basedOn w:val="948"/>
    <w:uiPriority w:val="0"/>
    <w:qFormat/>
    <w:rPr>
      <w:rFonts w:ascii="等线" w:hAnsi="等线" w:eastAsia="等线" w:cs="等线"/>
      <w:b/>
      <w:bCs/>
      <w:color w:val="000000"/>
      <w:sz w:val="22"/>
      <w:szCs w:val="22"/>
      <w:u w:val="none"/>
    </w:rPr>
  </w:style>
  <w:style w:type="paragraph" w:styleId="1002" w:customStyle="1">
    <w:name w:val="普通(网站) Char"/>
    <w:basedOn w:val="664"/>
    <w:uiPriority w:val="0"/>
    <w:qFormat/>
    <w:pPr>
      <w:jc w:val="left"/>
      <w:spacing w:before="100" w:beforeAutospacing="1" w:after="100" w:afterAutospacing="1"/>
      <w:widowControl/>
    </w:pPr>
    <w:rPr>
      <w:rFonts w:hint="eastAsia" w:ascii="宋体" w:hAnsi="宋体" w:cs="宋体"/>
      <w:sz w:val="24"/>
    </w:rPr>
  </w:style>
  <w:style w:type="paragraph" w:styleId="1003" w:customStyle="1">
    <w:name w:val="p0"/>
    <w:basedOn w:val="664"/>
    <w:uiPriority w:val="0"/>
    <w:qFormat/>
    <w:pPr>
      <w:widowControl/>
    </w:pPr>
    <w:rPr>
      <w:szCs w:val="21"/>
    </w:rPr>
  </w:style>
  <w:style w:type="paragraph" w:styleId="1004" w:customStyle="1">
    <w:name w:val="HTML 预设格式1"/>
    <w:basedOn w:val="6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05" w:customStyle="1">
    <w:name w:val="正文文本11"/>
    <w:basedOn w:val="664"/>
    <w:next w:val="664"/>
    <w:uiPriority w:val="0"/>
    <w:qFormat/>
    <w:pPr>
      <w:spacing w:line="400" w:lineRule="exact"/>
    </w:pPr>
    <w:rPr>
      <w:rFonts w:ascii="楷体_GB2312"/>
      <w:sz w:val="28"/>
    </w:rPr>
  </w:style>
  <w:style w:type="paragraph" w:styleId="1006" w:customStyle="1">
    <w:name w:val="文本块1"/>
    <w:basedOn w:val="664"/>
    <w:next w:val="1005"/>
    <w:uiPriority w:val="0"/>
    <w:qFormat/>
    <w:pPr>
      <w:ind w:right="210" w:firstLine="560"/>
      <w:spacing w:line="360" w:lineRule="auto"/>
    </w:pPr>
    <w:rPr>
      <w:rFonts w:ascii="宋体" w:hAnsi="宋体"/>
      <w:color w:val="000000"/>
      <w:spacing w:val="20"/>
      <w:sz w:val="24"/>
      <w:szCs w:val="18"/>
    </w:rPr>
  </w:style>
  <w:style w:type="paragraph" w:styleId="1007" w:customStyle="1">
    <w:name w:val="目录 82"/>
    <w:next w:val="664"/>
    <w:uiPriority w:val="0"/>
    <w:qFormat/>
    <w:pPr>
      <w:ind w:left="2550"/>
      <w:jc w:val="both"/>
    </w:pPr>
    <w:rPr>
      <w:rFonts w:ascii="Times New Roman" w:hAnsi="Times New Roman" w:eastAsia="宋体" w:cs="Times New Roman"/>
      <w:sz w:val="21"/>
      <w:lang w:val="en-US" w:eastAsia="zh-CN" w:bidi="ar-SA"/>
    </w:rPr>
  </w:style>
  <w:style w:type="character" w:styleId="1008" w:customStyle="1">
    <w:name w:val="NormalCharacter"/>
    <w:uiPriority w:val="0"/>
    <w:qFormat/>
  </w:style>
  <w:style w:type="paragraph" w:styleId="1009"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9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dc:title>
  <dc:creator>U</dc:creator>
  <cp:lastModifiedBy>杜赟</cp:lastModifiedBy>
  <cp:revision>17</cp:revision>
  <dcterms:created xsi:type="dcterms:W3CDTF">2024-03-14T02:10:00Z</dcterms:created>
  <dcterms:modified xsi:type="dcterms:W3CDTF">2025-11-06T08:15:36Z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7A224BEA52974133BFB74D84EA211F8F_13</vt:lpwstr>
  </property>
  <property fmtid="{D5CDD505-2E9C-101B-9397-08002B2CF9AE}" pid="4" name="KSOTemplateDocerSaveRecord">
    <vt:lpwstr>eyJoZGlkIjoiMDU0N2U0ZWI5MmYxZmQyZWI4YWQwNzM0MjhhYmZmYjMiLCJ1c2VySWQiOiI1NDgyNTU5OTQifQ==</vt:lpwstr>
  </property>
</Properties>
</file>